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OGewV 2016 — Bewirtschaftungsziele für Stickstoff</w:t>
      </w:r>
    </w:p>
    <w:p>
      <w:r>
        <w:rPr>
          <w:color w:val="555555"/>
          <w:sz w:val="18"/>
        </w:rPr>
        <w:t xml:space="preserve">Oberflächengewässerverordnung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Bewirtschaftungspläne und Maßnahmenprogramme in den Flussgebietseinheiten richten sich zum Schutz der Meeresgewässer an dem Ziel aus, dass folgende Jahresmittelwerte für Gesamtstickstoff nicht überschritten werden:</w:t>
      </w:r>
    </w:p>
    <w:p>
      <w:pPr>
        <w:ind w:left="420"/>
      </w:pPr>
      <w:r>
        <w:t xml:space="preserve">1. bei in die Nordsee mündenden Flüssen 2,8 Milligramm pro Liter</w:t>
      </w:r>
    </w:p>
    <w:p>
      <w:pPr>
        <w:ind w:left="780"/>
      </w:pPr>
      <w:r>
        <w:t xml:space="preserve">a) an den jeweiligen Süßwassermessstellen am Grenzscheitel limnisch/marin zum Zeitpunkt Kenterpunkt Ebbe,</w:t>
      </w:r>
    </w:p>
    <w:p>
      <w:pPr>
        <w:ind w:left="780"/>
      </w:pPr>
      <w:r>
        <w:t xml:space="preserve">b) bei Flüssen, deren Mündungsbereich sich außerhalb des Bundesgebiets befindet, an den Punkten, an denen diese Flüsse das Bundesgebiet endgültig verlassen,</w:t>
      </w:r>
    </w:p>
    <w:p>
      <w:pPr>
        <w:ind w:left="420"/>
      </w:pPr>
      <w:r>
        <w:t xml:space="preserve">2. bei in die Ostsee mündenden Flüssen 2,6 Milligramm pro Liter</w:t>
      </w:r>
    </w:p>
    <w:p>
      <w:pPr>
        <w:ind w:left="780"/>
      </w:pPr>
      <w:r>
        <w:t xml:space="preserve">a) an den jeweiligen Süßwassermessstellen am Grenzscheitel limnisch/marin,</w:t>
      </w:r>
    </w:p>
    <w:p>
      <w:pPr>
        <w:ind w:left="780"/>
      </w:pPr>
      <w:r>
        <w:t xml:space="preserve">b) bei Flüssen, deren Mündungsbereich sich außerhalb des Bundesgebiets befindet, an den Punkten, an denen diese Flüsse das Bundesgebiet endgültig verlassen.</w:t>
      </w:r>
    </w:p>
    <w:p>
      <w:r>
        <w:t xml:space="preserve">(2) Die zuständige Behörde des Landes, in dem sich die Messstellen und Punkte nach Absatz 1 befinden, überwacht die Einhaltung der Anforderungen nach Absatz 1 nach Maßgabe von Anlage 10 Nummer 4 Tabelle 1.</w:t>
      </w:r>
    </w:p>
    <w:p>
      <w:r>
        <w:rPr>
          <w:color w:val="555555"/>
          <w:sz w:val="17"/>
        </w:rPr>
        <w:t xml:space="preserve">Zitiervorschlag: § 14 OGewV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https://recht.nulegal.eu/gesetze/OGewV%202016/14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