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OGewV 2016 — Überwachung des ökologischen Zustands, des ökologischen Potenzials und des chemischen Zustands; Überwachungsnetz</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(1) Die Überwachung der Oberflächenwasserkörper hinsichtlich ihres ökologischen Zustands oder ihres ökologischen Potenzials, ihres chemischen Zustands sowie die Überwachung der Oberflächenwasserkörper, die der Trinkwassergewinnung dienen, richten sich nach Anlage 10. Die Überwachungsprogramme werden von der zuständigen Behörde regelmäßig überprüft und gegebenenfalls aktualisiert.</w:t>
      </w:r>
    </w:p>
    <w:p>
      <w:r>
        <w:t xml:space="preserve">(2) Die zuständige Behörde überwacht die Erfüllung der Anforderungen an die biologischen Qualitätskomponenten nach Anlage 4 sowie die Einhaltung der Umweltqualitätsnormen für flussgebietsspezifische Schadstoffe nach Anlage 6 im Rahmen der überblicksweisen Überwachung nach Anlage 10 Nummer 1 und, soweit nach Anlage 10 Nummer 2 erforderlich, im Rahmen der operativen Überwachung an für den Oberflächenwasserkörper repräsentativen Messstellen. Satz 1 gilt entsprechend für Umweltqualitätsnormen zur Beurteilung des chemischen Zustands nach Anlage 8 Tabelle 2.</w:t>
      </w:r>
    </w:p>
    <w:p>
      <w:r>
        <w:t xml:space="preserve">(3) Das Netz zur Überwachung des ökologischen und des chemischen Zustands sowie des ökologischen Potenzials ist im Bewirtschaftungsplan auf Karten darzustellen.</w:t>
      </w:r>
    </w:p>
    <w:p>
      <w:r>
        <w:rPr>
          <w:color w:val="555555"/>
          <w:sz w:val="17"/>
        </w:rPr>
        <w:t xml:space="preserve">Zitiervorschlag: § 10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