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OGVermNormDV — Verbot, Sicherstellungspflicht</w:t>
      </w:r>
    </w:p>
    <w:p>
      <w:r>
        <w:rPr>
          <w:color w:val="555555"/>
          <w:sz w:val="18"/>
        </w:rPr>
        <w:t xml:space="preserve">Obst-Gemüse-Vermarktungsnormen-Durchführungsverordnung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Es ist verboten, als Händler ein Erzeugnis im Sinne des Artikel 76 Absatz 1 der Verordnung (EU) Nr. 1308/2013 in Verbindung mit Artikel 2 Absatz 1, Artikel 4 Absatz 1 und Anhang I sowie Artikel 3 der Delegierten Verordnung (EU) 2023/2429 anzubieten, feilzuhalten, zu bewerben, zu liefern, zu verkaufen oder sonst in den Verkehr zu bringen, wenn es nicht den dort genannten Anforderungen entspricht.</w:t>
      </w:r>
    </w:p>
    <w:p>
      <w:r>
        <w:t xml:space="preserve">(2) Der Händler hat sicherzustellen, dass eine Ware, die Gegenstand eines Beanstandungsprotokolls nach Artikel 10 Absatz 3 Unterabsatz 1 Satz 1 der Durchführungsverordnung (EU) 2023/2430 ist, nicht ohne Erlaubnis nach Artikel 10 Absatz 3 Unterabsatz 1 Satz 2 der Durchführungsverordnung (EU) 2023/2430 bewegt wird.</w:t>
      </w:r>
    </w:p>
    <w:p>
      <w:r>
        <w:rPr>
          <w:color w:val="555555"/>
          <w:sz w:val="17"/>
        </w:rPr>
        <w:t xml:space="preserve">Zitiervorschlag: § 6 OGVermNormDV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https://recht.nulegal.eu/gesetze/OGVermNormDV/6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