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OGVermNormDV — Mitteilungspflichten der Länder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Länder haben die Kontrollstellen nach Artikel 2 Absatz 1 Buchstabe b der Durchführungsverordnung (EU) 2023/2430 zu benennen und der Bundesanstalt zusammen mit den Angaben gemäß Artikel 2 Absatz 2 Unterabsatz 2 Buchstaben b und c der Durchführungsverordnung (EU) 2023/2430 mitzuteilen.</w:t>
      </w:r>
    </w:p>
    <w:p>
      <w:r>
        <w:t xml:space="preserve">(2) Die Länder haben der Bundesanstalt die nach Artikel 4 Absatz 5 Satz 1 der Durchführungsverordnung (EU) 2023/2430 erforderlichen Informationen zur Verfügung zu stellen.</w:t>
      </w:r>
    </w:p>
    <w:p>
      <w:r>
        <w:t xml:space="preserve">(3) Die Länder haben der Bundesanstalt jeweils die zusammengefassten Ergebnisse ihrer Kontrollen auf allen Vermarktungsstufen in einem bestimmten Jahr bis zum 31. März des darauffolgenden Jahres mitzuteilen.</w:t>
      </w:r>
    </w:p>
    <w:p>
      <w:r>
        <w:rPr>
          <w:color w:val="555555"/>
          <w:sz w:val="17"/>
        </w:rPr>
        <w:t xml:space="preserve">Zitiervorschlag: § 4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