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OGVermNormDV — Befreiungen</w:t>
      </w:r>
    </w:p>
    <w:p>
      <w:r>
        <w:rPr>
          <w:color w:val="555555"/>
          <w:sz w:val="18"/>
        </w:rPr>
        <w:t xml:space="preserve">Obst-Gemüse-Vermarktungsnormen-Durchführungsverordnung</w:t>
      </w:r>
    </w:p>
    <w:p>
      <w:r>
        <w:rPr>
          <w:color w:val="555555"/>
          <w:sz w:val="18"/>
        </w:rPr>
        <w:t xml:space="preserve">Stand: 01.01.2025 (konsolidierte Textfassung, kein amtliches Inkrafttretensdatum)</w:t>
      </w:r>
    </w:p>
    <w:p>
      <w:r>
        <w:t xml:space="preserve">(1) Die in Artikel 5 Absatz 2 Buchstabe a und b der Delegierten Verordnung (EU) 2023/2429 genannten Erzeugnisse müssen im Bundesgebiet nicht den Vermarktungsnormen entsprechen, sofern sie dort ihren Ursprung haben.</w:t>
      </w:r>
    </w:p>
    <w:p>
      <w:r>
        <w:t xml:space="preserve">(2) Erzeugnisse, die ihren Ursprung in der Europäischen Union haben und aufgrund von Umständen höherer Gewalt nicht den in der Delegierten Verordnung (EU) 2023/2429 festgelegten speziellen Vermarktungsnormen entsprechen, dürfen im Bundesgebiet vermarktet werden, wenn sie die allgemeine Vermarktungsnorm nach Artikel 76 Absatz 1 der Verordnung (EU) Nr. 1308/2013 erfüllen. Diese Erzeugnisse sind in einer Weise zu kennzeichnen, die es dem Verbraucher ermöglicht zu erkennen, aufgrund welcher Art von Umständen die Ware nur den allgemeinen Vermarktungsnormen entspricht.</w:t>
      </w:r>
    </w:p>
    <w:p>
      <w:r>
        <w:rPr>
          <w:color w:val="555555"/>
          <w:sz w:val="17"/>
        </w:rPr>
        <w:t xml:space="preserve">Zitiervorschlag: § 3 OGVermNormDV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https://recht.nulegal.eu/gesetze/OGVermNormDV/3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