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OGVermNormDV — Zuständigkeit der Bundesanstalt für Landwirtschaft und Ernährung</w:t>
      </w:r>
    </w:p>
    <w:p>
      <w:r>
        <w:rPr>
          <w:color w:val="555555"/>
          <w:sz w:val="18"/>
        </w:rPr>
        <w:t xml:space="preserve">Obst-Gemüse-Vermarktungsnormen-Durchführungsverordnung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Der Bundesanstalt für Landwirtschaft und Ernährung (Bundesanstalt) wird die Zuständigkeit übertragen für:</w:t>
      </w:r>
    </w:p>
    <w:p>
      <w:pPr>
        <w:ind w:left="420"/>
      </w:pPr>
      <w:r>
        <w:t xml:space="preserve">1. die Überwachung der Einhaltung der Vorschriften des Rates und der Kommission der Europäischen Union beim Verbringen von Obst und Gemüse</w:t>
      </w:r>
    </w:p>
    <w:p>
      <w:pPr>
        <w:ind w:left="780"/>
      </w:pPr>
      <w:r>
        <w:t xml:space="preserve">a) aus Drittländern in den Geltungsbereich dieser Verordnung, solange für die Erzeugnisse die außenwirtschaftsrechtliche Einfuhrabfertigung noch nicht stattgefunden hat,</w:t>
      </w:r>
    </w:p>
    <w:p>
      <w:pPr>
        <w:ind w:left="780"/>
      </w:pPr>
      <w:r>
        <w:t xml:space="preserve">b) aus dem Geltungsbereich dieser Verordnung in Drittländer, sofern die Erzeugnisse zuvor in den Geltungsbereich dieser Verordnung verbracht worden sind,</w:t>
      </w:r>
    </w:p>
    <w:p>
      <w:pPr>
        <w:ind w:left="420"/>
      </w:pPr>
      <w:r>
        <w:t xml:space="preserve">2. die Zulassung nach Artikel 4 der Durchführungsverordnung (EU) 2023/2430 von Händlern im Sinne des Artikel 3 Absatz 2 der Durchführungsverordnung (EU) 2023/2430, soweit die von der Bundesanstalt nach Nummer 1 zu überwachende Ein- und Ausfuhr betroffen ist,</w:t>
      </w:r>
    </w:p>
    <w:p>
      <w:pPr>
        <w:ind w:left="420"/>
      </w:pPr>
      <w:r>
        <w:t xml:space="preserve">3. die Koordinierung der Länder bei der Durchführung des Unionsrechts,</w:t>
      </w:r>
    </w:p>
    <w:p>
      <w:pPr>
        <w:ind w:left="420"/>
      </w:pPr>
      <w:r>
        <w:t xml:space="preserve">4. die Mitteilung nach Artikel 2 Absatz 2 Unterabsatz 2 der Durchführungsverordnung (EU) 2023/2430,</w:t>
      </w:r>
    </w:p>
    <w:p>
      <w:pPr>
        <w:ind w:left="420"/>
      </w:pPr>
      <w:r>
        <w:t xml:space="preserve">5. die Veröffentlichung der Liste der von den nach Landesrecht zuständigen Behörden und der Bundesanstalt (zuständige Behörden) in ihrem jeweiligen Zuständigkeitsbereich zugelassenen Händler nach Artikel 4 Absatz 5 der Durchführungsverordnung (EU) 2023/2430 und</w:t>
      </w:r>
    </w:p>
    <w:p>
      <w:pPr>
        <w:ind w:left="420"/>
      </w:pPr>
      <w:r>
        <w:t xml:space="preserve">6. die Mitteilung nach Artikel 11 Absatz 3 und 4 der Durchführungsverordnung (EU) 2023/2430.</w:t>
      </w:r>
    </w:p>
    <w:p>
      <w:r>
        <w:rPr>
          <w:color w:val="555555"/>
          <w:sz w:val="17"/>
        </w:rPr>
        <w:t xml:space="preserve">Zitiervorschlag: § 2 OGVermNormDV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https://recht.nulegal.eu/gesetze/OGVermNormDV/2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