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OGVermNormDV — Inkrafttreten</w:t>
      </w:r>
    </w:p>
    <w:p>
      <w:r>
        <w:rPr>
          <w:color w:val="555555"/>
          <w:sz w:val="18"/>
        </w:rPr>
        <w:t xml:space="preserve">Obst-Gemüse-Vermarktungsnormen-Durchführungsverordnung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 Verordnung tritt am 1. Januar 2025 in Kraft. Gleichzeitig treten die Verordnung über EU-Normen für Obst und Gemüse vom 10. Juni 2009 (BGBl. I S. 1269), die zuletzt durch Artikel 1 der Verordnung vom 20. März 2014 (BGBl. I S. 269) geändert worden ist, und die Verordnung über Qualitätsnormen für Bananen vom 17. Juni 1996 (BGBl. I S. 857), die zuletzt durch Artikel 2 der Verordnung vom 20. März 2014 (BGBl. I S. 269) geändert worden ist, außer Kraft.</w:t>
      </w:r>
    </w:p>
    <w:p>
      <w:r>
        <w:rPr>
          <w:color w:val="555555"/>
          <w:sz w:val="17"/>
        </w:rPr>
        <w:t xml:space="preserve">Zitiervorschlag: § 10 OGVermNormDV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https://recht.nulegal.eu/gesetze/OGVermNormDV/10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