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OGErzeugerOrgDV 2022 — Wert der vermarkteten Erzeugung</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(1) Für die Berechnung der jährlichen Obergrenze nach Artikel 52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wird der in Artikel 32 Absatz 2 Buchstabe b der Delegierten Verordnung (EU) 2022/126 der Kommission vom 7. Dezember 2021 zur Ergänzung der Verordnung (EU) 2021/2115 des Europäischen Parlaments und des Rates um zusätzliche Anforderungen für bestimmte, von den Mitgliedstaaten in ihren GAP-Strategieplänen für den Zeitraum 2023 bis 2027 gemäß der genannten Verordnung festgelegten Interventionskategorien sowie um Vorschriften über den Anteil für den Standard für den guten landwirtschaftlichen und ökologischen Zustand (GLÖZ-Standard) Nummer 1 (ABl. L 20 vom 31.1.2022, S. 52) in der jeweils geltenden Fassung genannte Wert verwendet.</w:t>
      </w:r>
    </w:p>
    <w:p>
      <w:r>
        <w:t xml:space="preserve">(2) Verlässt ein Erzeuger eine nichtmitgliedstaatenübergreifende anerkannte Erzeugerorganisation und tritt einer mitgliedstaatenübergreifenden anerkannten Erzeugerorganisation bei, so wird seine Erzeugung ab dem 1. Januar des dritten auf seinen Austritt folgenden Kalenderjahres bei der aufnehmenden anerkannten Erzeugerorganisation berücksichtigt. Die beteiligten anerkannten Erzeugerorganisationen können eine von Satz 2 abweichende Vereinbarung treffen.</w:t>
      </w:r>
    </w:p>
    <w:p>
      <w:r>
        <w:t xml:space="preserve">(3) Nebenerzeugnisse dürfen in die Berechnung des Wertes der vermarkteten Erzeugung einbezogen werden.</w:t>
      </w:r>
    </w:p>
    <w:p>
      <w:r>
        <w:t xml:space="preserve">(4) Der Wert der vermarkteten Erzeugung ist jährlich von einer Einrichtung, die für die Prüfung von Jahresabschlüssen gesetzlich zugelassen ist, zu prüfen und zu bestätigen.</w:t>
      </w:r>
    </w:p>
    <w:p>
      <w:r>
        <w:rPr>
          <w:color w:val="555555"/>
          <w:sz w:val="17"/>
        </w:rPr>
        <w:t xml:space="preserve">Zitiervorschlag: § 9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