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OGErzeugerOrgDV 2022 — Anwendung der Agrarorganisationen-und-Lieferketten-Verordnung</w:t>
      </w:r>
    </w:p>
    <w:p>
      <w:r>
        <w:rPr>
          <w:color w:val="555555"/>
          <w:sz w:val="18"/>
        </w:rPr>
        <w:t xml:space="preserve">Obst-Gemüse-Erzeugerorganisationendurchführungsverordnung</w:t>
      </w:r>
    </w:p>
    <w:p>
      <w:r>
        <w:rPr>
          <w:color w:val="555555"/>
          <w:sz w:val="18"/>
        </w:rPr>
        <w:t xml:space="preserve">Stand: 18.07.2023 (konsolidierte Textfassung, kein amtliches Inkrafttretensdatum)</w:t>
      </w:r>
    </w:p>
    <w:p>
      <w:r>
        <w:t xml:space="preserve">Auf Branchenverbände im Geltungsbereich dieser Verordnung sind die einschlägigen Vorschriften der Agrarorganisationen-und-Lieferketten-Verordnung vom 11. Oktober 2021 (BGBl. I S. 4655) anwendbar. Darüber hinaus sind im Geltungsbereich dieser Verordnung auch die §§ 6, 7, 18 und 20 der Agrarorganisationen-und-Lieferketten-Verordnung entsprechend anzuwenden.</w:t>
      </w:r>
    </w:p>
    <w:p>
      <w:r>
        <w:rPr>
          <w:color w:val="555555"/>
          <w:sz w:val="17"/>
        </w:rPr>
        <w:t xml:space="preserve">Zitiervorschlag: § 8 OGErzeugerOrgDV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https://recht.nulegal.eu/gesetze/OGErzeugerOrgDV%202022/8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