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OGErzeugerOrgDV 2022 — Übergangsbestimmungen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08.06.2024 (konsolidierte Textfassung, kein amtliches Inkrafttretensdatum)</w:t>
      </w:r>
    </w:p>
    <w:p>
      <w:r>
        <w:t xml:space="preserve">(1) Für eine anerkannte Erzeugerorganisation oder eine anerkannte Vereinigung von Erzeugerorganisationen im Obst- und Gemüsesektor,</w:t>
      </w:r>
    </w:p>
    <w:p>
      <w:pPr>
        <w:ind w:left="420"/>
      </w:pPr>
      <w:r>
        <w:t xml:space="preserve">1. deren operationelles Programm nach Artikel 5 Absatz 6 Buchstabe c der Verordnung (EU) 2021/2117 unter den nach der Verordnung (EU) Nr. 1308/2013 geltenden Bedingungen bis zu seinem Ende weiterläuft, ist die Obst-Gemüse-Erzeugerorganisationendurchführungsverordnung vom 25. September 2014 (BGBl. I S. 1561), die zuletzt durch Artikel 106 des Gesetzes vom 10. August 2021 (BGBl. I S. 3436) geändert worden ist, bis zum Ende der Laufzeit des jeweiligen operationellen Programms nach Artikel 5 Absatz 6 Buchstabe c der Verordnung (EU) 2021/2117 weiteranzuwenden,</w:t>
      </w:r>
    </w:p>
    <w:p>
      <w:pPr>
        <w:ind w:left="420"/>
      </w:pPr>
      <w:r>
        <w:t xml:space="preserve">2. die bis zum 15. September 2022 bei der Landesstelle ein operationelles Programm unter den nach der Verordnung (EU) Nr. 1308/2013 geltenden Bedingungen beantragt hat und deren operationelles Programm bis zum Ablauf des 31. Dezember 2022 von der Landesstelle genehmigt wurde, ist die Obst-Gemüse-Erzeugerorganisationendurchführungsverordnung vom 25. September 2014 (BGBl. I S. 1561), die zuletzt durch Artikel 106 des Gesetzes vom 10. August 2021 (BGBl. I S. 3436) geändert worden ist, bis zum 31. Dezember 2025 weiteranzuwenden.</w:t>
      </w:r>
    </w:p>
    <w:p>
      <w:r>
        <w:t xml:space="preserve">(2) § 20 Satz 1 und 2 ist bis zum Ablauf des 30. Juni 2024 in der bis zum 7. Juni 2024 geltenden Fassung anzuwenden.</w:t>
      </w:r>
    </w:p>
    <w:p>
      <w:r>
        <w:rPr>
          <w:color w:val="555555"/>
          <w:sz w:val="17"/>
        </w:rPr>
        <w:t xml:space="preserve">Zitiervorschlag: § 40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