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OGErzeugerOrgDV 2022 — Mitgliedschaft von Nichterzeugern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Mitglied einer anerkannten Erzeugerorganisation kann auch sein:</w:t>
      </w:r>
    </w:p>
    <w:p>
      <w:pPr>
        <w:ind w:left="420"/>
      </w:pPr>
      <w:r>
        <w:t xml:space="preserve">1. wer</w:t>
      </w:r>
    </w:p>
    <w:p>
      <w:pPr>
        <w:ind w:left="780"/>
      </w:pPr>
      <w:r>
        <w:t xml:space="preserve">a) Erzeugnisse erzeugt hat, die vom Unionsrecht im Rahmen der gemeinsamen Marktorganisation für landwirtschaftliche Erzeugnisse hinsichtlich des Sektors Obst und Gemüse erfasst werden, oder</w:t>
      </w:r>
    </w:p>
    <w:p>
      <w:pPr>
        <w:ind w:left="780"/>
      </w:pPr>
      <w:r>
        <w:t xml:space="preserve">b) andere landwirtschaftliche Erzeugnisse als die Erzeugnisse, für die eine Anerkennung als Erzeugerorganisation erfolgt, erzeugt oder erzeugt hat,</w:t>
      </w:r>
    </w:p>
    <w:p>
      <w:pPr>
        <w:ind w:left="420"/>
      </w:pPr>
      <w:r>
        <w:t xml:space="preserve">2. wer Mitglied eines Organs der jeweiligen anerkannten Erzeugerorganisation ist.</w:t>
      </w:r>
    </w:p>
    <w:p>
      <w:r>
        <w:t xml:space="preserve">Durch die Mitgliedschaft der in Satz 1 genannten Person darf das Erreichen der im Unionsrecht festgelegten Ziele der anerkannten Erzeugerorganisation nicht beeinträchtigt werden. Die Satzung der anerkannten Erzeugerorganisation muss vorsehen, dass die in Satz 1 genannte Person von den Entscheidungen bezüglich des Betriebsfonds ausgeschlossen ist.</w:t>
      </w:r>
    </w:p>
    <w:p>
      <w:r>
        <w:t xml:space="preserve">(2) Eine natürliche oder juristische Person sowie Personengesellschaft, die ausschließlich gewerblichen Handel mit Obst und Gemüse betreibt, kann nicht Mitglied einer anerkannten Erzeugerorganisation sein.</w:t>
      </w:r>
    </w:p>
    <w:p>
      <w:r>
        <w:t xml:space="preserve">(3) Mitglied einer anerkannten Vereinigung von Erzeugerorganisationen kann nur eine nach Unionsrecht anerkannte Erzeugerorganisation im Sektor Obst und Gemüse sein.</w:t>
      </w:r>
    </w:p>
    <w:p>
      <w:r>
        <w:rPr>
          <w:color w:val="555555"/>
          <w:sz w:val="17"/>
        </w:rPr>
        <w:t xml:space="preserve">Zitiervorschlag: § 4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