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OGErzeugerOrgDV 2022 — Datenverarbeitung und Datenübermittlung</w:t>
      </w:r>
    </w:p>
    <w:p>
      <w:r>
        <w:rPr>
          <w:color w:val="555555"/>
          <w:sz w:val="18"/>
        </w:rPr>
        <w:t xml:space="preserve">Obst-Gemüse-Erzeugerorganisationendurchführungsverordnung</w:t>
      </w:r>
    </w:p>
    <w:p>
      <w:r>
        <w:rPr>
          <w:color w:val="555555"/>
          <w:sz w:val="18"/>
        </w:rPr>
        <w:t xml:space="preserve">Stand: 27.07.2022 (konsolidierte Textfassung, kein amtliches Inkrafttretensdatum)</w:t>
      </w:r>
    </w:p>
    <w:p>
      <w:r>
        <w:t xml:space="preserve">Zum Zweck der Beantragung eines operationellen Programms, zur Beantragung einer Beihilfe sowie zur Durchführung von Kontrollen verarbeitet und übermittelt die zuständige Behörde die Daten nach der Anlage des Marktorganisationsgesetzes.</w:t>
      </w:r>
    </w:p>
    <w:p>
      <w:r>
        <w:rPr>
          <w:color w:val="555555"/>
          <w:sz w:val="17"/>
        </w:rPr>
        <w:t xml:space="preserve">Zitiervorschlag: § 39 OGErzeugerOrgDV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https://recht.nulegal.eu/gesetze/OGErzeugerOrgDV%202022/39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