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OGErzeugerOrgDV 2022 — Muster und Formulare</w:t>
      </w:r>
    </w:p>
    <w:p>
      <w:r>
        <w:rPr>
          <w:color w:val="555555"/>
          <w:sz w:val="18"/>
        </w:rPr>
        <w:t xml:space="preserve">Obst-Gemüse-Erzeugerorganisationendurchführungsverordnung</w:t>
      </w:r>
    </w:p>
    <w:p>
      <w:r>
        <w:rPr>
          <w:color w:val="555555"/>
          <w:sz w:val="18"/>
        </w:rPr>
        <w:t xml:space="preserve">Stand: 27.07.2022 (konsolidierte Textfassung, kein amtliches Inkrafttretensdatum)</w:t>
      </w:r>
    </w:p>
    <w:p>
      <w:r>
        <w:t xml:space="preserve">Für alle Anträge und Meldungen können die Landesstellen schriftliche oder elektronische Muster bekannt geben oder schriftliche oder elektronische Formulare bereithalten. Sofern die Landesstellen Muster bekannt geben oder Formulare bereithalten, sind diese zu verwenden.</w:t>
      </w:r>
    </w:p>
    <w:p>
      <w:r>
        <w:rPr>
          <w:color w:val="555555"/>
          <w:sz w:val="17"/>
        </w:rPr>
        <w:t xml:space="preserve">Zitiervorschlag: § 38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