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OGErzeugerOrgDV 2022 — Ausnahmen bei höherer Gewalt und außergewöhnlichen Umständen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Die Vorschriften der §§ 31 bis 36 gelten nicht für Verstöße, die auf höhere Gewalt oder außergewöhnliche Umstände im Sinne von Artikel 3 Absatz 1 der Verordnung (EU) 2021/2116 zurückzuführen sind.</w:t>
      </w:r>
    </w:p>
    <w:p>
      <w:r>
        <w:t xml:space="preserve">(2) Die anerkannte Erzeugerorganisation und anerkannte Vereinigung von Erzeugerorganisationen haben die Umstände der höheren Gewalt oder die außergewöhnlichen Umstände im Sinne von Absatz 1 der Landesstelle unter Vorlage entsprechender Nachweise innerhalb von 30 Werktagen nach Wegfall der höheren Gewalt oder der außergewöhnlichen Umstände anzuzeigen.</w:t>
      </w:r>
    </w:p>
    <w:p>
      <w:r>
        <w:rPr>
          <w:color w:val="555555"/>
          <w:sz w:val="17"/>
        </w:rPr>
        <w:t xml:space="preserve">Zitiervorschlag: § 37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