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OGErzeugerOrgDV 2022 — Kontrollen zur Einhaltung der Zweckbindung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(1) Die Landesstellen haben bei jedem Beihilfeempfänger stichprobenartig die Einhaltung der Zweckbindung von Investitionen während der Zweckbindungsfrist zu prüfen. Die zu kontrollierenden Investitionen sind nach dem Zufallsprinzip auszuwählen.</w:t>
      </w:r>
    </w:p>
    <w:p>
      <w:r>
        <w:t xml:space="preserve">(2) Die Landesstellen können zusätzlich zu Absatz 1 anlassbezogene Kontrollen durchführen, wenn im Einzelfall aufgrund einer Risikoanalyse eine erhebliche Gefahr einer nicht zweckentsprechenden Nutzung besteht oder die Landesstelle Kenntnis von Unregelmäßigkeiten erlangt.</w:t>
      </w:r>
    </w:p>
    <w:p>
      <w:r>
        <w:t xml:space="preserve">(3) Die Landesstelle hat bei der Kontrolle festgestellte Unregelmäßigkeiten in einem schriftlichen oder elektronischen Bericht zu dokumentieren.</w:t>
      </w:r>
    </w:p>
    <w:p>
      <w:r>
        <w:rPr>
          <w:color w:val="555555"/>
          <w:sz w:val="17"/>
        </w:rPr>
        <w:t xml:space="preserve">Zitiervorschlag: § 30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