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OGErzeugerOrgDV 2022 — Rechnungsführung und Standardpauschalen</w:t>
      </w:r>
    </w:p>
    <w:p>
      <w:r>
        <w:rPr>
          <w:color w:val="555555"/>
          <w:sz w:val="18"/>
        </w:rPr>
        <w:t xml:space="preserve">Obst-Gemüse-Erzeugerorganisationendurchführungsverordnung</w:t>
      </w:r>
    </w:p>
    <w:p>
      <w:r>
        <w:rPr>
          <w:color w:val="555555"/>
          <w:sz w:val="18"/>
        </w:rPr>
        <w:t xml:space="preserve">Stand: 27.07.2022 (konsolidierte Textfassung, kein amtliches Inkrafttretensdatum)</w:t>
      </w:r>
    </w:p>
    <w:p>
      <w:r>
        <w:t xml:space="preserve">(1) Die im Rahmen des operationellen Programms getätigten Ausgaben sind durch Rechnungen und Zahlungsnachweise zu belegen. Rechnungen müssen ausgestellt sein auf den Namen</w:t>
      </w:r>
    </w:p>
    <w:p>
      <w:pPr>
        <w:ind w:left="420"/>
      </w:pPr>
      <w:r>
        <w:t xml:space="preserve">1. der anerkannten Erzeugerorganisation,</w:t>
      </w:r>
    </w:p>
    <w:p>
      <w:pPr>
        <w:ind w:left="420"/>
      </w:pPr>
      <w:r>
        <w:t xml:space="preserve">2. der anerkannten Vereinigung von Erzeugerorganisationen,</w:t>
      </w:r>
    </w:p>
    <w:p>
      <w:pPr>
        <w:ind w:left="420"/>
      </w:pPr>
      <w:r>
        <w:t xml:space="preserve">3. der Tochtergesellschaft der anerkannten Vereinigung von Erzeugerorganisationen, die der 90 Prozent-Regel nach Artikel 31 Absatz 7 der Delegierten Verordnung (EU) 2022/126 genügt, oder</w:t>
      </w:r>
    </w:p>
    <w:p>
      <w:pPr>
        <w:ind w:left="420"/>
      </w:pPr>
      <w:r>
        <w:t xml:space="preserve">4. eines oder mehrerer ihrer angeschlossenen Erzeuger.</w:t>
      </w:r>
    </w:p>
    <w:p>
      <w:r>
        <w:t xml:space="preserve">(2) Für die förderfähigen Personalkosten müssen die Rechnungen ausgestellt sein auf den Namen</w:t>
      </w:r>
    </w:p>
    <w:p>
      <w:pPr>
        <w:ind w:left="420"/>
      </w:pPr>
      <w:r>
        <w:t xml:space="preserve">1. der anerkannten Erzeugerorganisation,</w:t>
      </w:r>
    </w:p>
    <w:p>
      <w:pPr>
        <w:ind w:left="420"/>
      </w:pPr>
      <w:r>
        <w:t xml:space="preserve">2. der anerkannten Vereinigung von Erzeugerorganisationen,</w:t>
      </w:r>
    </w:p>
    <w:p>
      <w:pPr>
        <w:ind w:left="420"/>
      </w:pPr>
      <w:r>
        <w:t xml:space="preserve">3. der Tochtergesellschaft der anerkannten Vereinigung von Erzeugerorganisationen, die der 90 Prozent-Regel nach Artikel 31 Absatz 7 der Delegierten Verordnung (EU) 2022/126 genügt, oder</w:t>
      </w:r>
    </w:p>
    <w:p>
      <w:pPr>
        <w:ind w:left="420"/>
      </w:pPr>
      <w:r>
        <w:t xml:space="preserve">4. der Genossenschaft, die Mitglied der anerkannten Erzeugerorganisation ist.</w:t>
      </w:r>
    </w:p>
    <w:p>
      <w:r>
        <w:t xml:space="preserve">(3) Die Landesregierungen werden ermächtigt, um regionalen Gegebenheiten Rechnung zu tragen, durch Rechtsverordnung Standardpauschalen im Sinne des Artikels 44 Absatz 1 Buchstabe b bis d der Verordnung (EU) 2021/2115 festzusetzen. Abweichend von Absatz 1 kann die Abrechnung auf Grundlage von Standardpauschalen im Sinne des Artikels 44 Absatz 1 Buchstabe b bis d der Verordnung (EU) 2021/2115 erfolgen, sofern diese entsprechend Satz 1 von den Ländern festgesetzt sind.</w:t>
      </w:r>
    </w:p>
    <w:p>
      <w:r>
        <w:rPr>
          <w:color w:val="555555"/>
          <w:sz w:val="17"/>
        </w:rPr>
        <w:t xml:space="preserve">Zitiervorschlag: § 23 OGErzeugerOrgDV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https://recht.nulegal.eu/gesetze/OGErzeugerOrgDV%202022/23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