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OGErzeugerOrgDV 2022 — Rechtswidrige Beihilfen</w:t>
      </w:r>
    </w:p>
    <w:p>
      <w:r>
        <w:rPr>
          <w:color w:val="555555"/>
          <w:sz w:val="18"/>
        </w:rPr>
        <w:t xml:space="preserve">Obst-Gemüse-Erzeugerorganisationendurchführungsverordnung</w:t>
      </w:r>
    </w:p>
    <w:p>
      <w:r>
        <w:rPr>
          <w:color w:val="555555"/>
          <w:sz w:val="18"/>
        </w:rPr>
        <w:t xml:space="preserve">Stand: 18.07.2023 (konsolidierte Textfassung, kein amtliches Inkrafttretensdatum)</w:t>
      </w:r>
    </w:p>
    <w:p>
      <w:r>
        <w:t xml:space="preserve">(1) Die Gewährung einer Beihilfe ist rechtswidrig, sofern</w:t>
      </w:r>
    </w:p>
    <w:p>
      <w:pPr>
        <w:ind w:left="420"/>
      </w:pPr>
      <w:r>
        <w:t xml:space="preserve">1. die anerkannte Erzeugerorganisation und anerkannte Vereinigung von Erzeugerorganisationen oder deren jeweilige Mitglieder ihre Tätigkeit innerhalb der Zweckbindungsfrist im Sinne des § 20 Satz 1 einstellen;</w:t>
      </w:r>
    </w:p>
    <w:p>
      <w:pPr>
        <w:ind w:left="420"/>
      </w:pPr>
      <w:r>
        <w:t xml:space="preserve">2. das Investitionsobjekt vor Ablauf der Zweckbindungsfrist nach § 20 Satz 1 verkauft, aber nicht ersetzt wird;</w:t>
      </w:r>
    </w:p>
    <w:p>
      <w:pPr>
        <w:ind w:left="420"/>
      </w:pPr>
      <w:r>
        <w:t xml:space="preserve">3. die anerkannte Erzeugerorganisation und anerkannte Vereinigung von Erzeugerorganisationen oder die jeweiligen Mitglieder innerhalb der Zweckbindungsfrist im Sinne des § 20 Satz 1 ihre Produktionstätigkeit außerhalb ihres geographischen Anbaugebiets verlagern;</w:t>
      </w:r>
    </w:p>
    <w:p>
      <w:pPr>
        <w:ind w:left="420"/>
      </w:pPr>
      <w:r>
        <w:t xml:space="preserve">4. sich innerhalb der Zweckbindungsfrist im Sinne des § 20 Satz 1 die Art, die Ziele oder die Durchführungsbedingungen wesentlich ändern, so dass die ursprünglichen Ziele beeinträchtigt werden;</w:t>
      </w:r>
    </w:p>
    <w:p>
      <w:pPr>
        <w:ind w:left="420"/>
      </w:pPr>
      <w:r>
        <w:t xml:space="preserve">5. die Anerkennungsvoraussetzungen nach Unionsrecht und den §§ 2 bis 8 nicht mehr vorliegen und dem auch nicht bis zum Ablauf der in Artikel 59 Absatz 1 und 6 der Delegierten Verordnung (EU) 2017/891 genannten Frist abgeholfen wurde;</w:t>
      </w:r>
    </w:p>
    <w:p>
      <w:pPr>
        <w:ind w:left="420"/>
      </w:pPr>
      <w:r>
        <w:t xml:space="preserve">6. eine Person im Sinne des § 30 Absatz 1 Nummer 1 bis 5 des Gesetzes über Ordnungswidrigkeiten im Zusammenhang mit der Anerkennung einer Erzeugerorganisation oder der Gewährung einer unter die Verordnung (EU) 2021/2115 sowie die Verordnung (EU) Nr. 1308/2013 fallenden Beihilfe an eine anerkannte Erzeugerorganisation oder eine anerkannte Vereinigung von Erzeugerorganisationen eine Straftat im Sinne des § 34 Absatz 1 Nummer 1 oder eine Ordnungswidrigkeit im Sinne des § 34 Absatz 1 Nummer 2 begangen hat.</w:t>
      </w:r>
    </w:p>
    <w:p>
      <w:r>
        <w:t xml:space="preserve">(2) Die Gewährung einer Beihilfe für mehrjährige Ziele ist rechtswidrig, sofern diese Ziele und ein erwarteter Nutzen mehrjähriger Verpflichtungen, wie etwa bei umweltbezogenen Zielen im Sinne des Artikels 46 Buchstabe d, e, f der Verordnung (EU) 2021/2115 in der jeweils geltenden Fassung, wegen einer Unterbrechung der Maßnahmen nicht erreicht werden können.</w:t>
      </w:r>
    </w:p>
    <w:p>
      <w:r>
        <w:t xml:space="preserve">(3) Absatz 2 gilt sinngemäß auch im Fall</w:t>
      </w:r>
    </w:p>
    <w:p>
      <w:pPr>
        <w:ind w:left="420"/>
      </w:pPr>
      <w:r>
        <w:t xml:space="preserve">1. der freiwilligen Aussetzung der Anerkennung,</w:t>
      </w:r>
    </w:p>
    <w:p>
      <w:pPr>
        <w:ind w:left="420"/>
      </w:pPr>
      <w:r>
        <w:t xml:space="preserve">2. des Widerrufs der Anerkennung und</w:t>
      </w:r>
    </w:p>
    <w:p>
      <w:pPr>
        <w:ind w:left="420"/>
      </w:pPr>
      <w:r>
        <w:t xml:space="preserve">3. der Auflösung der anerkannten Erzeugerorganisation oder der anerkannten Vereinigung von Erzeugerorganisationen.</w:t>
      </w:r>
    </w:p>
    <w:p>
      <w:r>
        <w:rPr>
          <w:color w:val="555555"/>
          <w:sz w:val="17"/>
        </w:rPr>
        <w:t xml:space="preserve">Zitiervorschlag: § 21 OGErzeugerOrgDV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https://recht.nulegal.eu/gesetze/OGErzeugerOrgDV%202022/21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