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OGAV</w:t>
      </w:r>
    </w:p>
    <w:p>
      <w:r>
        <w:rPr>
          <w:color w:val="555555"/>
          <w:sz w:val="18"/>
        </w:rPr>
        <w:t xml:space="preserve">Ordnungsgeld-Aktenführungsverordnung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335 Abs. 2a des Handelsgesetzbuchs, der durch Artikel 8 des Gesetzes vom 10. Dezember 2007 (BGBl. I S. 2833) eingefügt worden ist, in Verbindung mit § 110b Abs. 1 Satz 1, 2 und 4, Abs. 2 bis 4 des Gesetzes über Ordnungswidrigkeiten, der durch Artikel 7 Nr. 6 des Gesetzes vom 22. März 2005 (BGBl. I S. 837) eingefügt worden ist, verordnet das Bundesministerium der Justiz:</w:t>
      </w:r>
    </w:p>
    <w:p>
      <w:r>
        <w:rPr>
          <w:color w:val="555555"/>
          <w:sz w:val="17"/>
        </w:rPr>
        <w:t xml:space="preserve">Zitiervorschlag: Eingangsformel OGAV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https://recht.nulegal.eu/gesetze/OGAV/eingangsformel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