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OGAV — Inkrafttreten</w:t>
      </w:r>
    </w:p>
    <w:p>
      <w:r>
        <w:rPr>
          <w:color w:val="555555"/>
          <w:sz w:val="18"/>
        </w:rPr>
        <w:t xml:space="preserve">Ordnungsgeld-Aktenführungsverordnung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OGAV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https://recht.nulegal.eu/gesetze/OGAV/6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