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OGAV — Speicherung</w:t>
      </w:r>
    </w:p>
    <w:p>
      <w:r>
        <w:rPr>
          <w:color w:val="555555"/>
          <w:sz w:val="18"/>
        </w:rPr>
        <w:t xml:space="preserve">Ordnungsgeld-Aktenführungsverordnung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rechtskräftigem Abschluss des Verfahrens sind die elektronischen Akten bis zu ihrer Löschung oder Übergabe an das Bundesarchiv in Dateiformaten zu speichern, die eine nachträgliche Veränderung nicht zulassen.</w:t>
      </w:r>
    </w:p>
    <w:p>
      <w:r>
        <w:rPr>
          <w:color w:val="555555"/>
          <w:sz w:val="17"/>
        </w:rPr>
        <w:t xml:space="preserve">Zitiervorschlag: § 5 OGAV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