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OGAV — Mit Datenverarbeitungsanlagen erstellte Dokumente</w:t>
      </w:r>
    </w:p>
    <w:p>
      <w:r>
        <w:rPr>
          <w:color w:val="555555"/>
          <w:sz w:val="18"/>
        </w:rPr>
        <w:t xml:space="preserve">Ordnungsgeld-Aktenführungsverordnung</w:t>
      </w:r>
    </w:p>
    <w:p>
      <w:r>
        <w:rPr>
          <w:color w:val="555555"/>
          <w:sz w:val="18"/>
        </w:rPr>
        <w:t xml:space="preserve">Stand: 10.06.2019 (konsolidierte Textfassung, kein amtliches Inkrafttretensdatum)</w:t>
      </w:r>
    </w:p>
    <w:p>
      <w:r>
        <w:t xml:space="preserve">Bei Dokumenten, die unter Einsatz von Datenverarbeitungsanlagen erstellt werden, können die Unterschrift und die Namenswiedergabe fehlen. In diesem Fall müssen die Dokumente jedoch den Hinweis enthalten, dass sie nicht zu unterzeichnen sind und dass das Dokument unter Einsatz von Datenverarbeitungsanlagen erstellt worden ist. Satz 1 gilt nicht für behördeninterne Verfügungen.</w:t>
      </w:r>
    </w:p>
    <w:p>
      <w:r>
        <w:rPr>
          <w:color w:val="555555"/>
          <w:sz w:val="17"/>
        </w:rPr>
        <w:t xml:space="preserve">Zitiervorschlag: § 4 OGAV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