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OGAV — Fachverfahren nach dem Stand der Technik</w:t>
      </w:r>
    </w:p>
    <w:p>
      <w:r>
        <w:rPr>
          <w:color w:val="555555"/>
          <w:sz w:val="18"/>
        </w:rPr>
        <w:t xml:space="preserve">Ordnungsgeld-Aktenführungsverordnung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eingesetzte Fachverfahren hat dem Stand der Technik für die elektronische Vorgangsbearbeitung in der Bundesverwaltung zu genügen.</w:t>
      </w:r>
    </w:p>
    <w:p>
      <w:r>
        <w:rPr>
          <w:color w:val="555555"/>
          <w:sz w:val="17"/>
        </w:rPr>
        <w:t xml:space="preserve">Zitiervorschlag: § 2 OGAV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