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OGAV — Elektronische Aktenführung</w:t>
      </w:r>
    </w:p>
    <w:p>
      <w:r>
        <w:rPr>
          <w:color w:val="555555"/>
          <w:sz w:val="18"/>
        </w:rPr>
        <w:t xml:space="preserve">Ordnungsgeld-Aktenführungsverordnung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Justiz hat die Verfahrensakten im Ordnungsgeldverfahren nach den §§ 335, 340o und 341o des Handelsgesetzbuchs, nach § 21 des Publizitätsgesetzes sowie nach anderen Bestimmungen, die wegen des Ordnungsgeldverfahrens auf § 335 des Handelsgesetzbuchs verweisen, einschließlich der Verfahrensakten in der Zwangsvollstreckung ab dem 1. Januar 2018 elektronisch zu führen.</w:t>
      </w:r>
    </w:p>
    <w:p>
      <w:r>
        <w:t xml:space="preserve">(2) Die Verfahrensakten können bis zum 31. Dezember 2025 in der bis zum 31. Dezember 2017 verwendeten elektronischen Form weitergeführt werden.</w:t>
      </w:r>
    </w:p>
    <w:p>
      <w:r>
        <w:t xml:space="preserve">(3) Verfahrensakten, die vor dem 1. Januar 2018 in Papierform geführt worden sind, können in dieser Form bis zum 31. Dezember 2025 weitergeführt werden.</w:t>
      </w:r>
    </w:p>
    <w:p>
      <w:r>
        <w:rPr>
          <w:color w:val="555555"/>
          <w:sz w:val="17"/>
        </w:rPr>
        <w:t xml:space="preserve">Zitiervorschlag: § 1 OGAV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