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OEG — Rechtsweg</w:t>
      </w:r>
    </w:p>
    <w:p>
      <w:r>
        <w:rPr>
          <w:color w:val="555555"/>
          <w:sz w:val="18"/>
        </w:rPr>
        <w:t xml:space="preserve">Opferentschädigungsgesetz</w:t>
      </w:r>
    </w:p>
    <w:p>
      <w:r>
        <w:rPr>
          <w:color w:val="555555"/>
          <w:sz w:val="18"/>
        </w:rPr>
        <w:t xml:space="preserve">Historische Fassung: Stand 10.06.2019 bis 01.01.2024. Dies ist nicht die aktuelle Fassung.</w:t>
      </w:r>
    </w:p>
    <w:p>
      <w:r>
        <w:t xml:space="preserve">(1) Für öffentlich-rechtliche Streitigkeiten in Angelegenheiten dieses Gesetzes ist, mit Ausnahme der Fälle des Absatzes 2, der Rechtsweg zu den Gerichten der Sozialgerichtsbarkeit gegeben. Soweit das Sozialgerichtsgesetz besondere Vorschriften für die Kriegsopferversorgung enthält, gelten diese auch für Streitigkeiten nach Satz 1.</w:t>
      </w:r>
    </w:p>
    <w:p>
      <w:r>
        <w:t xml:space="preserve">(2) Soweit die Versorgung in der Gewährung von Leistungen besteht, die den Leistungen der Kriegsopferfürsorge nach den §§ 25 bis 27h des Bundesversorgungsgesetzes entsprechen, ist der Verwaltungsrechtsweg gegeben.</w:t>
      </w:r>
    </w:p>
    <w:p>
      <w:r>
        <w:rPr>
          <w:color w:val="555555"/>
          <w:sz w:val="17"/>
        </w:rPr>
        <w:t xml:space="preserve">Zitiervorschlag: § 7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