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6a OEG — Zuständigkeiten des Bundesministeriums für Arbeit und Soziales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Das Bundesministerium für Arbeit und Soziales nimmt die Aufgaben der zentralen Behörde im Sinne des Artikels 12 Satz 2 des Europäischen Übereinkommens vom 24. November 1983 über die Entschädigung für Opfer von Gewalttaten (BGBl. 1996 II S. 1120) wahr.</w:t>
      </w:r>
    </w:p>
    <w:p>
      <w:r>
        <w:t xml:space="preserve">(2) Das Bundesministerium für Arbeit und Soziales nimmt ferner die Aufgaben der Unterstützungsbehörde im Sinne des Artikels 3 Abs. 1 und der zentralen Kontaktstelle im Sinne des Artikels 16 der Richtlinie 2004/80/EG des Rates vom 29. April 2004 zur Entschädigung der Opfer von Straftaten (ABl. EU Nr. L 261 S. 15) wahr.</w:t>
      </w:r>
    </w:p>
    <w:p>
      <w:r>
        <w:rPr>
          <w:color w:val="555555"/>
          <w:sz w:val="17"/>
        </w:rPr>
        <w:t xml:space="preserve">Zitiervorschlag: § 6a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