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OEG — Übergang gesetzlicher Schadensersatzansprüche</w:t>
      </w:r>
    </w:p>
    <w:p>
      <w:r>
        <w:rPr>
          <w:color w:val="555555"/>
          <w:sz w:val="18"/>
        </w:rPr>
        <w:t xml:space="preserve">Opferentschädigungsgesetz</w:t>
      </w:r>
    </w:p>
    <w:p>
      <w:r>
        <w:rPr>
          <w:color w:val="555555"/>
          <w:sz w:val="18"/>
        </w:rPr>
        <w:t xml:space="preserve">Historische Fassung: Stand 17.06.2021 bis 01.01.2024. Dies ist nicht die aktuelle Fassung.</w:t>
      </w:r>
    </w:p>
    <w:p>
      <w:r>
        <w:t xml:space="preserve">Ist ein Land Kostenträger (§ 4), so gilt § 81a des Bundesversorgungsgesetzes mit der Maßgabe, daß der gegen Dritte bestehende gesetzliche Schadensersatzanspruch auf das zur Gewährung der Leistungen nach diesem Gesetz verpflichtete Land übergeht und der Übergang des Anspruchs insbesondere dann nicht geltend gemacht werden kann, wenn die Schadensersatzleistungen der Schädigerin oder des Schädigers oder eines Dritten nicht ausreichen, um den gesamten Schaden zu ersetzen; in diesen Fällen sind die Schadensersatzansprüche der oder des Berechtigten vorrangig gegenüber den Ansprüchen des Kostenträgers.</w:t>
      </w:r>
    </w:p>
    <w:p>
      <w:r>
        <w:rPr>
          <w:color w:val="555555"/>
          <w:sz w:val="17"/>
        </w:rPr>
        <w:t xml:space="preserve">Zitiervorschlag: § 5 OEG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https://recht.nulegal.eu/gesetze/OEG/5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