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OEG — Kostenträger</w:t>
      </w:r>
    </w:p>
    <w:p>
      <w:r>
        <w:rPr>
          <w:color w:val="555555"/>
          <w:sz w:val="18"/>
        </w:rPr>
        <w:t xml:space="preserve">Opferentschädigungsgesetz</w:t>
      </w:r>
    </w:p>
    <w:p>
      <w:r>
        <w:rPr>
          <w:color w:val="555555"/>
          <w:sz w:val="18"/>
        </w:rPr>
        <w:t xml:space="preserve">Historische Fassung: Stand 29.04.2020 bis 01.01.2024. Dies ist nicht die aktuelle Fassung.</w:t>
      </w:r>
    </w:p>
    <w:p>
      <w:r>
        <w:t xml:space="preserve">(1) Zur Gewährung der Versorgung ist das Land verpflichtet, in dem die berechtigte Person ihren Wohnsitz, bei Fehlen eines Wohnsitzes ihren gewöhnlichen Aufenthalt hat, soweit die Absätze 2 bis 8 in Verbindung mit § 6 Absatz 1 nichts Abweichendes regeln.</w:t>
      </w:r>
    </w:p>
    <w:p>
      <w:r>
        <w:t xml:space="preserve">(2) Für die Entscheidung über einen bis einschließlich 19. Dezember 2019 gestellten und nicht bestandskräftig beschiedenen Antrag auf Leistungen nach § 1 ist bis zum 30. Juni 2020 dasjenige Land zuständig und zur Gewährung der Versorgung verpflichtet, in dem die Schädigung eingetreten ist. Ab dem 1. Juli 2020 ist für die Entscheidung dasjenige Land zuständig und zur Gewährung der Versorgung verpflichtet, in dem die berechtigte Person ihren Wohnsitz, bei Fehlen eines Wohnsitzes ihren gewöhnlichen Aufenthalt hat.</w:t>
      </w:r>
    </w:p>
    <w:p>
      <w:r>
        <w:t xml:space="preserve">(3) Für eine berechtigte Person, die am 19. Dezember 2019 bereits Leistungen nach § 1 erhält, und in den Fällen nach Absatz 2 Satz 1, in denen Leistungen nach § 1 gewährt werden, ist bis zum 31. Dezember 2020 das Land zur Gewährung der Versorgung verpflichtet, in dem die Schädigung eingetreten ist; dies gilt auch, wenn Anträge auf zusätzliche Leistungen gestellt werden. Ab dem 1. Januar 2021 ist dasjenige Land zur Gewährung der Versorgung verpflichtet, in dem die leistungsberechtigte Person im Sinne des Satzes 1 ihren Wohnsitz, bei Fehlen eines Wohnsitzes ihren gewöhnlichen Aufenthalt hat.</w:t>
      </w:r>
    </w:p>
    <w:p>
      <w:r>
        <w:t xml:space="preserve">(4) Sind in den Fällen des Absatzes 2 Satz 1 und des Absatzes 3 Satz 1 Feststellungen zu dem Ort der Schädigung nicht möglich, so ist das Land zur Gewährung der Versorgung verpflichtet, in dem der Geschädigte zur Tatzeit seinen Wohnsitz oder gewöhnlichen Aufenthalt hatte.</w:t>
      </w:r>
    </w:p>
    <w:p>
      <w:r>
        <w:t xml:space="preserve">(5) Haben berechtigte Personen ihren Wohnsitz oder gewöhnlichen Aufenthalt außerhalb des Geltungsbereiches dieses Gesetzes, ist das Land zur Gewährung der Versorgung verpflichtet, in dem die Schädigung eingetreten ist. Abweichend von Satz 1 bleibt das nach den Absätzen 1 bis 4 bestimmte Land zur Gewährung der Versorgung verpflichtet, wenn der Wohnsitz, bei Fehlen eines Wohnsitzes der gewöhnliche Aufenthalt nach der Schädigung ins Ausland verlegt wird.</w:t>
      </w:r>
    </w:p>
    <w:p>
      <w:r>
        <w:t xml:space="preserve">(6) Wenn der Geschädigte zur Tatzeit seinen Wohnsitz oder gewöhnlichen Aufenthalt nicht im Geltungsbereich dieses Gesetzes hatte und eine Feststellung, in welchem Land die Schädigung eingetreten ist, nicht möglich ist, trägt der Bund die Kosten der Versorgung. Das Gleiche gilt, wenn die Schädigung auf einem deutschen Schiff, einem deutschen Luftfahrzeug oder an einem Ort im Ausland eingetreten ist.</w:t>
      </w:r>
    </w:p>
    <w:p>
      <w:r>
        <w:t xml:space="preserve">(7) Der Bund trägt vierzig vom Hundert der Ausgaben, die den Ländern durch Geldleistungen nach diesem Gesetz entstehen. Zu den Geldleistungen gehören nicht solche Geldbeträge, die zur Abgeltung oder an Stelle einer Sachleistung gezahlt werden. Zur Vereinfachung der Abrechnung erstattet der Bund den Ländern in einem pauschalierten Verfahren jeweils 22 Prozent der ihnen nach Absatz 1 entstandenen Ausgaben. Der Bund überprüft in einem Abstand von fünf Jahren, erstmals im Jahr 2014, die Voraussetzungen für die in Satz 3 genannte Quote.</w:t>
      </w:r>
    </w:p>
    <w:p>
      <w:r>
        <w:t xml:space="preserve">(8) In den Fällen des § 3 Abs. 1 sind die Kosten, die durch das Hinzutreten der weiteren Schädigung verursacht werden, von dem Leistungsträger zu übernehmen, der für die Versorgung wegen der weiteren Schädigung zuständig ist.</w:t>
      </w:r>
    </w:p>
    <w:p>
      <w:r>
        <w:rPr>
          <w:color w:val="555555"/>
          <w:sz w:val="17"/>
        </w:rPr>
        <w:t xml:space="preserve">Zitiervorschlag: § 4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