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OEG — Leistungen bei Gewalttaten im Ausland</w:t>
      </w:r>
    </w:p>
    <w:p>
      <w:r>
        <w:rPr>
          <w:color w:val="555555"/>
          <w:sz w:val="18"/>
        </w:rPr>
        <w:t xml:space="preserve">Opferentschädigungsgesetz</w:t>
      </w:r>
    </w:p>
    <w:p>
      <w:r>
        <w:rPr>
          <w:color w:val="555555"/>
          <w:sz w:val="18"/>
        </w:rPr>
        <w:t xml:space="preserve">Historische Fassung: Stand 18.01.2020 bis 01.01.2024. Dies ist nicht die aktuelle Fassung.</w:t>
      </w:r>
    </w:p>
    <w:p>
      <w:r>
        <w:t xml:space="preserve">(1) Erleiden Deutsche oder Ausländer nach § 1 Absatz 4 im Ausland infolge einer Gewalttat nach § 1 Absatz 1 oder 2 eine gesundheitliche Schädigung im Sinne von § 1 Absatz 1, erhalten sie wegen der gesundheitlichen und wirtschaftlichen Folgen auf Antrag einen Ausgleich nach Absatz 2, wenn sie</w:t>
      </w:r>
    </w:p>
    <w:p>
      <w:pPr>
        <w:ind w:left="420"/>
      </w:pPr>
      <w:r>
        <w:t xml:space="preserve">1. ihren gewöhnlichen und rechtmäßigen Aufenthalt im Geltungsbereich dieses Gesetzes haben und</w:t>
      </w:r>
    </w:p>
    <w:p>
      <w:pPr>
        <w:ind w:left="420"/>
      </w:pPr>
      <w:r>
        <w:t xml:space="preserve">2. sich zum Tatzeitpunkt für einen vorübergehenden Zeitraum von längstens sechs Monaten außerhalb des Geltungsbereichs dieses Gesetzes aufgehalten haben.</w:t>
      </w:r>
    </w:p>
    <w:p>
      <w:r>
        <w:t xml:space="preserve">(2) Geschädigte erhalten die auf Grund der Schädigungsfolgen notwendigen Maßnahmen der Heilbehandlung und der medizinischen Rehabilitation einschließlich psychotherapeutischer Angebote. Darüber hinaus erhalten Geschädigte ab einem Grad der Schädigungsfolgen (GdS) von 10 bis zu einem GdS von 20 eine Einmalzahlung von 800 Euro, bei einem GdS von 30 und 40 eine Einmalzahlung von 1 600 Euro, bei einem GdS von 50 und 60 eine Einmalzahlung von 5 800 Euro, bei einem GdS von 70 bis 90 eine Einmalzahlung von 10 200 Euro und bei einem GdS von 100 eine Einmalzahlung von 16 500 Euro. Bei Verlust mehrerer Gliedmaßen, bei Verlust von Gliedmaßen in Kombination mit einer Schädigung von Sinnesorganen oder in Kombination mit einer Hirnschädigung oder bei schweren Verbrennungen beträgt die Einmalzahlung 28 500 Euro. Ist die Gliedmaße noch vorhanden aber nicht funktionsfähig, ist dies nur dann wie ein Verlust der Gliedmaße zu bewerten, wenn sich ausschließlich aus der Funktionsunfähigkeit mindestens ein GdS ergibt, der auch bei Verlust der gleichen Gliedmaße bestehen würde.</w:t>
      </w:r>
    </w:p>
    <w:p>
      <w:r>
        <w:t xml:space="preserve">(3) Ist eine Person, bei der die Voraussetzungen nach Absatz 1 vorliegen, an den Folgen der Schädigung gestorben, erhalten Hinterbliebene im Sinne von § 38 des Bundesversorgungsgesetzes mit Ausnahme der Verwandten der aufsteigenden Linie sowie Betreuungsunterhaltsberechtigte eine Einmalzahlung. Diese beträgt bei Vollwaisen 2 600 Euro, bei Halbwaisen 1 400 Euro und ansonsten 5 000 Euro. Darüber hinaus haben Hinterbliebene einschließlich der Eltern, deren minderjährige Kinder an den Folgen einer Gewalttat im Ausland verstorben sind, Anspruch auf die notwendigen psychotherapeutischen Maßnahmen. Zu den Überführungs- und Beerdigungskosten wird ein Zuschuss bis zu 1 700 Euro gewährt, soweit nicht Dritte die Kosten übernehmen.</w:t>
      </w:r>
    </w:p>
    <w:p>
      <w:r>
        <w:t xml:space="preserve">(4) Leistungsansprüche aus anderen öffentlichen oder privaten Sicherungs- oder Versorgungssystemen sind auf die Leistungen nach den Absätzen 2 und 3 anzurechnen. Hierzu können auch Leistungsansprüche aus Sicherungs- oder Versorgungssystemen des Staates zählen, in dem sich die Gewalttat ereignet hat. Handelt es sich bei der anzurechnenden Leistung um eine laufende Rentenzahlung, so ist der Anrechnung ein Betrag zugrunde zu legen, der der Höhe des zum Zeitpunkt der Antragstellung nach § 1 erworbenen Anspruchs auf eine Kapitalabfindung entspricht.</w:t>
      </w:r>
    </w:p>
    <w:p>
      <w:r>
        <w:t xml:space="preserve">(5) Von Ansprüchen nach Absatz 2 sind Geschädigte ausgeschlossen, die es grob fahrlässig unterlassen haben, einen nach den Umständen des Einzelfalles gebotenen Versicherungsschutz zu begründen. Ansprüche nach Absatz 2 sind außerdem ausgeschlossen, wenn bei der geschädigten Person ein Versagungsgrund nach § 2 Absatz 1 Satz 1 oder Absatz 2 vorliegt.</w:t>
      </w:r>
    </w:p>
    <w:p>
      <w:r>
        <w:t xml:space="preserve">(6) Hinterbliebene sind von Ansprüchen nach Absatz 3 ausgeschlossen, wenn ein Ausschlussgrund nach Absatz 5 in ihrer Person oder bei der getöteten Person vorliegt.</w:t>
      </w:r>
    </w:p>
    <w:p>
      <w:r>
        <w:rPr>
          <w:color w:val="555555"/>
          <w:sz w:val="17"/>
        </w:rPr>
        <w:t xml:space="preserve">Zitiervorschlag: § 3a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