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OEG — Zusammentreffen von Ansprüchen</w:t>
      </w:r>
    </w:p>
    <w:p>
      <w:r>
        <w:rPr>
          <w:color w:val="555555"/>
          <w:sz w:val="18"/>
        </w:rPr>
        <w:t xml:space="preserve">Opferentschädigungsgesetz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Treffen Ansprüche aus diesem Gesetz mit Ansprüchen aus § 1 des Bundesversorgungsgesetzes oder aus anderen Gesetzen zusammen, die eine entsprechende Anwendung des Bundesversorgungsgesetzes vorsehen, ist unter Berücksichtigung des durch die gesamten Schädigungsfolgen bedingten Grades der Schädigungsfolgen eine einheitliche Rente festzusetzen.</w:t>
      </w:r>
    </w:p>
    <w:p>
      <w:r>
        <w:t xml:space="preserve">(2) Die Ansprüche nach diesem Gesetz entfallen, soweit auf Grund der Schädigung Ansprüche nach dem Bundesversorgungsgesetz oder nach einem Gesetz, welches eine entsprechende Anwendung des Bundesversorgungsgesetzes vorsieht, bestehen.</w:t>
      </w:r>
    </w:p>
    <w:p>
      <w:r>
        <w:t xml:space="preserve">(3) Trifft ein Versorgungsanspruch nach diesem Gesetz mit einem Schadensersatzanspruch auf Grund fahrlässiger Amtspflichtverletzung zusammen, so wird der Anspruch nach § 839 Abs. 1 des Bürgerlichen Gesetzbuchs nicht dadurch ausgeschlossen, daß die Voraussetzungen des § 1 vorliegen.</w:t>
      </w:r>
    </w:p>
    <w:p>
      <w:r>
        <w:t xml:space="preserve">(4) Bei Schäden nach diesem Gesetz gilt § 4 Abs. 1 Nr. 2 des Siebten Buches Sozialgesetzbuch nicht.</w:t>
      </w:r>
    </w:p>
    <w:p>
      <w:r>
        <w:rPr>
          <w:color w:val="555555"/>
          <w:sz w:val="17"/>
        </w:rPr>
        <w:t xml:space="preserve">Zitiervorschlag: § 3 OEG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https://recht.nulegal.eu/gesetze/OEG/3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