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10d OEG — Übergangsvorschrift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Am 1. Januar 1998 noch nicht gezahlte Erstattungen von Aufwendungen für Leistungen, die vor dem 1. Januar 1998 erbracht worden sind, werden nach den bis dahin geltenden Erstattungsregelungen abgerechnet.</w:t>
      </w:r>
    </w:p>
    <w:p>
      <w:r>
        <w:t xml:space="preserve">(2) Für das Jahr 1998 wird der Pauschalbetrag wie folgt ermittelt: Aus der Summe der Erstattungen des Landes an die Krankenkassen nach diesem Gesetz in den Jahren 1995 bis 1997, abzüglich der Erstattungen für Leistungen bei Pflegebedürftigkeit nach § 11 Abs. 4 und § 12 Abs. 5 des Bundesversorgungsgesetzes in der bis zum 31. März 1995 geltenden Fassung und abzüglich der Erstattungen nach § 19 Abs. 4 des Bundesversorgungsgesetzes in der bis zum 31. Dezember 1993 geltenden Fassung, wird der Jahresdurchschnitt ermittelt.</w:t>
      </w:r>
    </w:p>
    <w:p>
      <w:r>
        <w:rPr>
          <w:color w:val="555555"/>
          <w:sz w:val="17"/>
        </w:rPr>
        <w:t xml:space="preserve">Zitiervorschlag: § 10d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https://recht.nulegal.eu/gesetze/OEG/10d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