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10c OEG — Übergangsregelung</w:t>
      </w:r>
    </w:p>
    <w:p>
      <w:r>
        <w:rPr>
          <w:color w:val="555555"/>
          <w:sz w:val="18"/>
        </w:rPr>
        <w:t xml:space="preserve">Opferentschädigungsgesetz</w:t>
      </w:r>
    </w:p>
    <w:p>
      <w:r>
        <w:rPr>
          <w:color w:val="555555"/>
          <w:sz w:val="18"/>
        </w:rPr>
        <w:t xml:space="preserve">Historische Fassung: Stand 10.06.2019 bis 01.01.2024. Dies ist nicht die aktuelle Fassung.</w:t>
      </w:r>
    </w:p>
    <w:p>
      <w:r>
        <w:t xml:space="preserve">Neue Ansprüche, die sich auf Grund einer Änderung dieses Gesetzes ergeben, werden nur auf Antrag festgestellt. Wird der Antrag binnen eines Jahres nach Verkündung des Änderungsgesetzes gestellt, so beginnt die Zahlung mit dem Zeitpunkt des Inkrafttretens, frühestens jedoch mit dem Monat, in dem die Voraussetzungen erfüllt sind.</w:t>
      </w:r>
    </w:p>
    <w:p>
      <w:r>
        <w:rPr>
          <w:color w:val="555555"/>
          <w:sz w:val="17"/>
        </w:rPr>
        <w:t xml:space="preserve">Zitiervorschlag: § 10c OEG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https://recht.nulegal.eu/gesetze/OEG/10c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