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OEG — Härteregelung</w:t>
      </w:r>
    </w:p>
    <w:p>
      <w:r>
        <w:rPr>
          <w:color w:val="555555"/>
          <w:sz w:val="18"/>
        </w:rPr>
        <w:t xml:space="preserve">Opferentschädigungsgesetz</w:t>
      </w:r>
    </w:p>
    <w:p>
      <w:r>
        <w:rPr>
          <w:color w:val="555555"/>
          <w:sz w:val="18"/>
        </w:rPr>
        <w:t xml:space="preserve">Historische Fassung: Stand 10.06.2019 bis 01.01.2024. Dies ist nicht die aktuelle Fassung.</w:t>
      </w:r>
    </w:p>
    <w:p>
      <w:r>
        <w:t xml:space="preserve">(1) Personen, die in der Zeit vom 23. Mai 1949 bis 15. Mai 1976 geschädigt worden sind, erhalten auf Antrag Versorgung, solange sie</w:t>
      </w:r>
    </w:p>
    <w:p>
      <w:pPr>
        <w:ind w:left="420"/>
      </w:pPr>
      <w:r>
        <w:t xml:space="preserve">1. allein infolge dieser Schädigung schwerbeschädigt sind und</w:t>
      </w:r>
    </w:p>
    <w:p>
      <w:pPr>
        <w:ind w:left="420"/>
      </w:pPr>
      <w:r>
        <w:t xml:space="preserve">2. bedürftig sind und</w:t>
      </w:r>
    </w:p>
    <w:p>
      <w:pPr>
        <w:ind w:left="420"/>
      </w:pPr>
      <w:r>
        <w:t xml:space="preserve">3. im Geltungsbereich dieses Gesetzes ihren Wohnsitz oder gewöhnlichen Aufenthalt haben.</w:t>
      </w:r>
    </w:p>
    <w:p>
      <w:r>
        <w:t xml:space="preserve">Versorgung nach Maßgabe des Satzes 1 erhalten auch Personen, die in dem in Artikel 3 des Einigungsvertrages genannten Gebiet ihren Wohnsitz oder gewöhnlichen Aufenthalt haben oder zum Zeitpunkt der Schädigung hatten, wenn die Schädigung in der Zeit vom 7. Oktober 1949 bis zum 2. Oktober 1990 in dem vorgenannten Gebiet eingetreten ist. § 31 Abs. 4 Satz 2 erster Halbsatz des Bundesversorgungsgesetzes gilt.</w:t>
      </w:r>
    </w:p>
    <w:p>
      <w:r>
        <w:t xml:space="preserve">(2) Bedürftig ist ein Anspruchsteller, wenn sein Einkommen im Sinne des § 33 des Bundesversorgungsgesetzes den Betrag, von dem an die nach der Anrechnungsverordnung (§ 33 Abs. 6 Bundesversorgungsgesetz) zu berechnenden Leistungen nicht mehr zustehen, zuzüglich des Betrages der jeweiligen Grundrente, der Schwerstbeschädigtenzulage sowie der Pflegezulage nicht übersteigt.</w:t>
      </w:r>
    </w:p>
    <w:p>
      <w:r>
        <w:t xml:space="preserve">(3) Übersteigt das Einkommen den Betrag, von dem an die vom Einkommen beeinflußten Versorgungsleistungen nicht mehr zustehen, so sind die Versorgungsbezüge in der Reihenfolge Grundrente, Schwerstbeschädigtenzulage und Pflegezulage um den übersteigenden Betrag zu mindern. Bei der Berechnung des übersteigenden Betrages sind die Einkünfte aus gegenwärtiger Erwerbstätigkeit vor den übrigen Einkünften zu berücksichtigen. § 33 Abs. 4, § 33a Abs. 2 und § 33b Abs. 6 des Bundesversorgungsgesetzes gelten nicht.</w:t>
      </w:r>
    </w:p>
    <w:p>
      <w:r>
        <w:t xml:space="preserve">(4) Die Hinterbliebenen eines Geschädigten erhalten auf Antrag Versorgung in entsprechender Anwendung der §§ 38 bis 52 des Bundesversorgungsgesetzes, solange sie bedürftig sind und im Geltungsbereich dieses Gesetzes ihren Wohnsitz oder ständigen Aufenthalt haben. Die Absätze 2 und 3 gelten entsprechend. Unabhängig vom Zeitpunkt des Todes des Beschädigten sind für die Witwenbeihilfe die Anspruchsvoraussetzungen des § 48 Abs. 1 Satz 1, 5 und 6 des Bundesversorgungsgesetzes in der im Zeitpunkt der Antragstellung geltenden Fassung maßgebend.</w:t>
      </w:r>
    </w:p>
    <w:p>
      <w:r>
        <w:t xml:space="preserve">(5) Die Versorgung umfaßt alle nach dem Bundesversorgungsgesetz vorgesehenen Leistungen mit Ausnahme von Berufsschadens- und Schadensausgleich.</w:t>
      </w:r>
    </w:p>
    <w:p>
      <w:r>
        <w:rPr>
          <w:color w:val="555555"/>
          <w:sz w:val="17"/>
        </w:rPr>
        <w:t xml:space="preserve">Zitiervorschlag: § 10a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