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ODV — (zu § 1 Absatz 1) Bestimmung der ortsbeweglichen Druckgeräte, die unter § 1 Absatz 1 fallen</w:t>
      </w:r>
    </w:p>
    <w:p>
      <w:r>
        <w:rPr>
          <w:color w:val="555555"/>
          <w:sz w:val="18"/>
        </w:rPr>
        <w:t xml:space="preserve">Ortsbewegliche-Druckgeräte-Verordnung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2011, 2361)</w:t>
      </w:r>
    </w:p>
    <w:p>
      <w:r>
        <w:t xml:space="preserve">Abschnitt A</w:t>
      </w:r>
    </w:p>
    <w:p>
      <w:r>
        <w:t xml:space="preserve">Ortsbewegliche Druckgeräte im Sinne des § 1 Absatz 1 sind:</w:t>
      </w:r>
    </w:p>
    <w:p>
      <w:pPr>
        <w:ind w:left="420"/>
      </w:pPr>
      <w:r>
        <w:t xml:space="preserve">1. neue ortsbewegliche Druckgeräte gemäß Artikel 1 Absatz 2 Buchstabe a der Richtlinie 2010/35/EU, die nicht die Konformitätskennzeichnung gemäß den Richtlinien 84/525/EWG, 84/526/EWG, 84/527/EWG oder 1999/36/EG tragen, hinsichtlich ihrer Bereitstellung auf dem Markt;</w:t>
      </w:r>
    </w:p>
    <w:p>
      <w:pPr>
        <w:ind w:left="420"/>
      </w:pPr>
      <w:r>
        <w:t xml:space="preserve">2. ortsbewegliche Druckgeräte gemäß Artikel 1 Absatz 2 Buchstabe b der Richtlinie 2010/35/EU, die die Konformitätskennzeichnung gemäß der Richtlinie 2010/35/EU oder gemäß den Richtlinien 84/525/EWG, 84/526/EWG, 84/527/EWG oder 1999/36/EG tragen, hinsichtlich der wiederkehrenden Prüfungen, Zwischenprüfungen oder außerordentlichen Prüfungen der Geräte und ihrer Verwendung;</w:t>
      </w:r>
    </w:p>
    <w:p>
      <w:pPr>
        <w:ind w:left="420"/>
      </w:pPr>
      <w:r>
        <w:t xml:space="preserve">3. ortsbewegliche Druckgeräte gemäß Artikel 1 Absatz 2 Buchstabe c der Richtlinie 2010/35/EU, die nicht die Konformitätskennzeichnung gemäß der Richtlinie 1999/36/EG oder der Richtlinie 2010/35/EU tragen, hinsichtlich der Neubewertung der Konformität.</w:t>
      </w:r>
    </w:p>
    <w:p>
      <w:r>
        <w:t xml:space="preserve">Abschnitt B</w:t>
      </w:r>
    </w:p>
    <w:p>
      <w:r>
        <w:t xml:space="preserve">Als ortsbewegliche Druckgeräte gemäß § 1 Absatz 1 gelten</w:t>
      </w:r>
    </w:p>
    <w:p>
      <w:pPr>
        <w:ind w:left="420"/>
      </w:pPr>
      <w:r>
        <w:t xml:space="preserve">1. alle Druckgefäße und gegebenenfalls ihre Ventile und anderen Zubehörteile gemäß Kapitel 6.2 ADR/RID;</w:t>
      </w:r>
    </w:p>
    <w:p>
      <w:pPr>
        <w:ind w:left="420"/>
      </w:pPr>
      <w:r>
        <w:t xml:space="preserve">2. Tanks, Batteriefahrzeuge/-wagen, Gascontainer mit mehreren Elementen (MEGC) und gegebenenfalls ihre Ventile und anderen Zubehörteile gemäß Kapitel 6.8 ADR/RID,</w:t>
      </w:r>
    </w:p>
    <w:p>
      <w:r>
        <w:t xml:space="preserve">sofern die unter Nummer 1 oder Nummer 2 genannten Geräte im Einklang mit den Bestimmungen der in § 3 Absatz 1 genannten Vorschriften für die Beförderung von Gasen der Klasse 2, ausgenommen Gase oder Gegenstände mit der Ziffer 6 oder 7 im Klassifizierungscode, oder für die Beförderung der in Anhang I der Richtlinie 2010/35/EU genannten gefährlichen Stoffe anderer Klassen verwendet werden.</w:t>
      </w:r>
    </w:p>
    <w:p>
      <w:r>
        <w:t xml:space="preserve">Ferner gelten als ortsbewegliche Druckgeräte Gaspatronen (UN-Nummer 2037), jedoch nicht Druckgaspackungen (UN-Nummer 1950), offene Kryo-Behälter, Gasflaschen für Atemschutzgeräte, Feuerlöscher (UN-Nummer 1044), ortsbewegliche Druckgeräte, die gemäß Unterabschnitt 1.1.3.2 ADR/RID ausgenommen sind, sowie ortsbewegliche Druckgeräte, die aufgrund der besonderen Vorschriften in Kapitel 3.3 ADR/RID von den Bau- und Prüfvorschriften für Verpackungen ausgenommen sind.</w:t>
      </w:r>
    </w:p>
    <w:p>
      <w:r>
        <w:rPr>
          <w:color w:val="555555"/>
          <w:sz w:val="17"/>
        </w:rPr>
        <w:t xml:space="preserve">Zitiervorschlag: Anlage 1 ODV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https://recht.nulegal.eu/gesetze/ODV/anlage-1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ODV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