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ODV — Betreiber</w:t>
      </w:r>
    </w:p>
    <w:p>
      <w:r>
        <w:rPr>
          <w:color w:val="555555"/>
          <w:sz w:val="18"/>
        </w:rPr>
        <w:t xml:space="preserve">Ortsbewegliche-Druckgeräte-Verordnung</w:t>
      </w:r>
    </w:p>
    <w:p>
      <w:r>
        <w:rPr>
          <w:color w:val="555555"/>
          <w:sz w:val="18"/>
        </w:rPr>
        <w:t xml:space="preserve">Stand: 21.12.2024 (konsolidierte Textfassung, kein amtliches Inkrafttretensdatum)</w:t>
      </w:r>
    </w:p>
    <w:p>
      <w:r>
        <w:t xml:space="preserve">(1) Der Betreiber darf nur ortsbewegliche Druckgeräte verwenden, die den in § 3 Absatz 1 Satz 1 genannten Anforderungen entsprechen.</w:t>
      </w:r>
    </w:p>
    <w:p>
      <w:r>
        <w:t xml:space="preserve">(1a) Liegt eine ergänzende Zulassungsbescheinigung über eine Änderung nach Absatz 1.8.7.2.2.3 Satz 5 vor, darf der Betreiber die Druckgefäße und Tanks nur dann verwenden, wenn sie den Bestimmungen in der Bescheinigung entsprechen und die Bescheinigung der Tankakte nach Absatz 1.8.7.2.2.3 Satz 6 ADR/RID beigefügt ist.</w:t>
      </w:r>
    </w:p>
    <w:p>
      <w:r>
        <w:t xml:space="preserve">(2) Ist mit den ortsbeweglichen Druckgeräten ein Risiko verbunden, hat der Betreiber den Eigentümer sowie die Marktüberwachungsbehörden zu unterrichten, sobald ihm diese bekannt geworden ist.</w:t>
      </w:r>
    </w:p>
    <w:p>
      <w:r>
        <w:t xml:space="preserve">(3) Hat ein Betreiber, der als Privatperson ortsbewegliche Druckgeräte für den persönlichen oder häuslichen Gebrauch oder für Freizeit- oder Sportzwecke verwendet, Kenntnis, dass mit dem Betrieb des ortsbeweglichen Druckgeräts ein Risiko verbunden ist, hat er abweichend von Absatz 2 den Vertreiber zu unterrichten, sobald ihm diese bekannt geworden ist.</w:t>
      </w:r>
    </w:p>
    <w:p>
      <w:r>
        <w:rPr>
          <w:color w:val="555555"/>
          <w:sz w:val="17"/>
        </w:rPr>
        <w:t xml:space="preserve">Zitiervorschlag: § 8 ODV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https://recht.nulegal.eu/gesetze/ODV/8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