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ODV — Anerkennung der Gleichwertigkeit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(1) Die gemäß den Richtlinien 84/525/EWG, 84/526/EWG und 84/527/EWG erteilten EWG-Bauartzulassungen für ortsbewegliche Druckgeräte und die gemäß der Richtlinie 1999/36/EG ausgestellten EG-Entwurfsprüfbescheinigungen werden als den in ADR/RID und den Anhängen der Richtlinie 2008/68/EG genannten Bauartzulassungszeugnissen gleichwertig anerkannt. Sie unterliegen aber den Bestimmungen über eine zeitlich begrenzte Anerkennung der Baumusterzulassung in Absatz 1.8.7.2.4 ADR/RID.</w:t>
      </w:r>
    </w:p>
    <w:p>
      <w:r>
        <w:t xml:space="preserve">(2) Ventile und Ausrüstungsteile gemäß Artikel 3 Absatz 3 der Richtlinie 1999/36/EG, die gemäß Artikel 3 Absatz 4 der Richtlinie 1999/36/EG mit dem in der Richtlinie 97/23/EG des Europäischen Parlaments und des Rates vom 29. Mai 1997 zur Angleichung der Rechtsvorschriften der Mitgliedstaaten über Druckgeräte (ABl. L 181 vom 9.7.1997, S. 1) vorgesehenen Kennzeichen versehen sind, dürfen weiter verwendet werden.</w:t>
      </w:r>
    </w:p>
    <w:p>
      <w:r>
        <w:rPr>
          <w:color w:val="555555"/>
          <w:sz w:val="17"/>
        </w:rPr>
        <w:t xml:space="preserve">Zitiervorschlag: § 33 ODV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