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ODV — Übergangsbestimmungen</w:t>
      </w:r>
    </w:p>
    <w:p>
      <w:r>
        <w:rPr>
          <w:color w:val="555555"/>
          <w:sz w:val="18"/>
        </w:rPr>
        <w:t xml:space="preserve">Ortsbewegliche-Druckgeräte-Verordnung</w:t>
      </w:r>
    </w:p>
    <w:p>
      <w:r>
        <w:rPr>
          <w:color w:val="555555"/>
          <w:sz w:val="18"/>
        </w:rPr>
        <w:t xml:space="preserve">Stand: 11.07.2026 (konsolidierte Textfassung, kein amtliches Inkrafttretensdatum)</w:t>
      </w:r>
    </w:p>
    <w:p>
      <w:r>
        <w:t xml:space="preserve">(1) Bestimmungen im Sinne des Anhangs II Nummer 1 der Richtlinie 2010/35/EU gelten weiter.</w:t>
      </w:r>
    </w:p>
    <w:p>
      <w:r>
        <w:t xml:space="preserve">(2) Benannte Stellen, die nach der Richtlinie1999/36/EG notifiziert sind, gelten solange als notifiziert im Sinne dieser Verordnung, wie ihre vor dem Inkrafttreten dieser Verordnung erhaltene Anerkennung und Benennung gültig ist.</w:t>
      </w:r>
    </w:p>
    <w:p>
      <w:r>
        <w:t xml:space="preserve">(3) Ortsbewegliche Druckgeräte, die vor dem Inkrafttreten dieser Verordnung nach der Verordnung über ortsbewegliche Druckgeräte gemäß Artikel 1 der Verordnung vom 17. Dezember 2004 (BGBl. I S. 3711) konformitätsbewertet und mit der Pi-Kennzeichnung gekennzeichnet wurden, gelten als ortsbewegliche Druckgeräte im Sinne dieser Verordnung. Sie unterliegen den wiederkehrenden Prüfungen, Zwischenprüfungen und außerordentlichen Prüfungen gemäß den Vorschriften des ADR/RID, der Richtlinie 2010/35/EU und dieser Verordnung.</w:t>
      </w:r>
    </w:p>
    <w:p>
      <w:r>
        <w:t xml:space="preserve">(4) (weggefallen)</w:t>
      </w:r>
    </w:p>
    <w:p>
      <w:r>
        <w:t xml:space="preserve">(5) (weggefallen)</w:t>
      </w:r>
    </w:p>
    <w:p>
      <w:r>
        <w:t xml:space="preserve">(6) (weggefallen)</w:t>
      </w:r>
    </w:p>
    <w:p>
      <w:r>
        <w:rPr>
          <w:color w:val="555555"/>
          <w:sz w:val="17"/>
        </w:rPr>
        <w:t xml:space="preserve">Zitiervorschlag: § 32 ODV</w:t>
      </w:r>
    </w:p>
    <w:p>
      <w:r>
        <w:rPr>
          <w:color w:val="555555"/>
          <w:sz w:val="17"/>
        </w:rPr>
        <w:t xml:space="preserve">Quelle: Bundesamt für Justiz, abgerufen 11.07.2026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https://recht.nulegal.eu/gesetze/ODV/32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