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ODV — Priorisierung von Marktüberwachungstätigkeiten und gegenseitige Unterstützung der Behörden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Die Marktüberwachungsbehörden haben Marktüberwachungsmaßnahmen nach § 22 vorrangig an den ortsbeweglichen Druckgeräten durchzuführen, die in dem Durchführungsrechtsakt nach § 27 Absatz 1 Nummer 2 angegeben sind.</w:t>
      </w:r>
    </w:p>
    <w:p>
      <w:r>
        <w:t xml:space="preserve">(2) Während der Aktivierung eines Notfallmodus für den Binnenmarkt haben die Marktüberwachungsbehörden zumutbare Anstrengungen zu unternehmen, um die Marktüberwachungsbehörden anderer Mitgliedstaaten der Europäischen Union zu unterstützen.</w:t>
      </w:r>
    </w:p>
    <w:p>
      <w:r>
        <w:rPr>
          <w:color w:val="555555"/>
          <w:sz w:val="17"/>
        </w:rPr>
        <w:t xml:space="preserve">Zitiervorschlag: § 30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