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ODV — Priorisierung der Konformitätsbewertung von als krisenrelevante Waren eingestuften ortsbeweglichen Druckgeräten</w:t>
      </w:r>
    </w:p>
    <w:p>
      <w:r>
        <w:rPr>
          <w:color w:val="555555"/>
          <w:sz w:val="18"/>
        </w:rPr>
        <w:t xml:space="preserve">Ortsbewegliche-Druckgeräte-Verordnung</w:t>
      </w:r>
    </w:p>
    <w:p>
      <w:r>
        <w:rPr>
          <w:color w:val="555555"/>
          <w:sz w:val="18"/>
        </w:rPr>
        <w:t xml:space="preserve">Stand: 11.07.2026 (konsolidierte Textfassung, kein amtliches Inkrafttretensdatum)</w:t>
      </w:r>
    </w:p>
    <w:p>
      <w:r>
        <w:t xml:space="preserve">(1) Die Benannte Stelle soll Anträge von Herstellern auf Konformitätsbewertungen ortsbeweglicher Druckgeräte, die in dem Durchführungsrechtsakt nach § 27 Absatz 1 Nummer 2 angegeben sind und die den Konformitätsbewertungsverfahren nach § 11 unterliegen, unabhängig davon priorisieren, ob der Antrag vor oder nach der Aktivierung des Notfallmodus gestellt wurde.</w:t>
      </w:r>
    </w:p>
    <w:p>
      <w:r>
        <w:t xml:space="preserve">(2) Den Antragstellern dürfen durch die Priorisierung von Anträgen nach Absatz 1 keine zusätzlichen unverhältnismäßigen Kosten entstehen.</w:t>
      </w:r>
    </w:p>
    <w:p>
      <w:r>
        <w:t xml:space="preserve">(3) Die Benannte Stelle hat zumutbare Anstrengungen zu unternehmen, ihre Prüfkapazitäten für ortsbewegliche Druckgeräte nach Absatz 1, für die sie benannt wurden, zu erhöhen.</w:t>
      </w:r>
    </w:p>
    <w:p>
      <w:r>
        <w:rPr>
          <w:color w:val="555555"/>
          <w:sz w:val="17"/>
        </w:rPr>
        <w:t xml:space="preserve">Zitiervorschlag: § 28 ODV</w:t>
      </w:r>
    </w:p>
    <w:p>
      <w:r>
        <w:rPr>
          <w:color w:val="555555"/>
          <w:sz w:val="17"/>
        </w:rPr>
        <w:t xml:space="preserve">Quelle: Bundesamt für Justiz, abgerufen 11.07.2026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