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ODV — Anwendung der Notfallverfahren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11.07.2026 (konsolidierte Textfassung, kein amtliches Inkrafttretensdatum)</w:t>
      </w:r>
    </w:p>
    <w:p>
      <w:r>
        <w:t xml:space="preserve">(1) Die §§ 28 bis 30 sind anzuwenden, wenn</w:t>
      </w:r>
    </w:p>
    <w:p>
      <w:pPr>
        <w:ind w:left="420"/>
      </w:pPr>
      <w:r>
        <w:t xml:space="preserve">1. in einem Durchführungsrechtsakt des Rates nach Artikel 18 Absatz 4 Satz 1, auch in Verbindung mit Satz 3, der Verordnung (EU) 2024/2747 der Notfallmodus für den Binnenmarkt aktiviert wurde und ortsbewegliche Druckgeräte nach Anlage 1 enthalten sind und</w:t>
      </w:r>
    </w:p>
    <w:p>
      <w:pPr>
        <w:ind w:left="420"/>
      </w:pPr>
      <w:r>
        <w:t xml:space="preserve">2. in einem Durchführungsrechtsakt der Europäischen Kommission nach Artikel 28 Absatz 1 der Verordnung (EU) 2024/2747 in Bezug auf als krisenrelevante Waren eingestufte ortsbewegliche Druckgeräte Notfallverfahren nach § 28 Absatz 1, § 29 Absatz 1 und § 30 aktiviert wurden.</w:t>
      </w:r>
    </w:p>
    <w:p>
      <w:r>
        <w:t xml:space="preserve">(2) Maßnahmen, die auf der Grundlage dieses Abschnitts ergriffen werden, gelten nur solange wie der Notfallmodus für den Binnenmarkt nach Artikel 18 Absatz 4 Satz 1 der Verordnung (EU) 2024/2747 aktiviert ist. Satz 1 gilt nicht für Maßnahmen nach § 29 Absatz 4.</w:t>
      </w:r>
    </w:p>
    <w:p>
      <w:r>
        <w:rPr>
          <w:color w:val="555555"/>
          <w:sz w:val="17"/>
        </w:rPr>
        <w:t xml:space="preserve">Zitiervorschlag: § 27 ODV</w:t>
      </w:r>
    </w:p>
    <w:p>
      <w:r>
        <w:rPr>
          <w:color w:val="555555"/>
          <w:sz w:val="17"/>
        </w:rPr>
        <w:t xml:space="preserve">Quelle: Bundesamt für Justiz, abgerufen 11.07.2026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