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ODV — Marktüberwachungsstrategie</w:t>
      </w:r>
    </w:p>
    <w:p>
      <w:r>
        <w:rPr>
          <w:color w:val="555555"/>
          <w:sz w:val="18"/>
        </w:rPr>
        <w:t xml:space="preserve">Ortsbewegliche-Druckgeräte-Verordnung</w:t>
      </w:r>
    </w:p>
    <w:p>
      <w:r>
        <w:rPr>
          <w:color w:val="555555"/>
          <w:sz w:val="18"/>
        </w:rPr>
        <w:t xml:space="preserve">Stand: 21.12.2024 (konsolidierte Textfassung, kein amtliches Inkrafttretensdatum)</w:t>
      </w:r>
    </w:p>
    <w:p>
      <w:r>
        <w:t xml:space="preserve">Die nationale Marktüberwachungsstrategie, die nach Artikel 13 Absatz 1 Satz 1 der Verordnung (EU) 2019/1020 des Europäischen Parlaments und des Rates vom 20. Juni 2019 über Marktüberwachung und die Konformität von Produkten sowie zur Änderung der Richtlinie 2004/42/EG und der Verordnung (EG) Nr. 765/2008 und (EU) Nr. 305/2011 (ABl. L 169 vom 25.6.2019, S. 1) in Verbindung mit § 6 Absatz 1 des Marktüberwachungsgesetzes vom 9. Juni 2021 (BGBl. I S. 1723) zu erstellen ist, soll in dem nach § 20 Absatz 3 eingerichteten Erfahrungsaustausch entwickelt und fortgeschrieben werden.</w:t>
      </w:r>
    </w:p>
    <w:p>
      <w:r>
        <w:rPr>
          <w:color w:val="555555"/>
          <w:sz w:val="17"/>
        </w:rPr>
        <w:t xml:space="preserve">Zitiervorschlag: § 21 ODV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