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ODV — Zuständigkeiten und Zusammenarbeit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21.12.2024 (konsolidierte Textfassung, kein amtliches Inkrafttretensdatum)</w:t>
      </w:r>
    </w:p>
    <w:p>
      <w:r>
        <w:t xml:space="preserve">(1) Für die Marktüberwachung im Sinne dieser Verordnung sind zuständig:</w:t>
      </w:r>
    </w:p>
    <w:p>
      <w:pPr>
        <w:ind w:left="420"/>
      </w:pPr>
      <w:r>
        <w:t xml:space="preserve">1. die Bundesanstalt für Materialforschung und -prüfung für Tanks von Tankcontainern und für Gascontainer mit mehreren Elementen (MEGC), die Tanks als Elemente enthalten, soweit diese den Vorschriften des Kapitels 6.8 ADR/RID unterliegen,</w:t>
      </w:r>
    </w:p>
    <w:p>
      <w:pPr>
        <w:ind w:left="420"/>
      </w:pPr>
      <w:r>
        <w:t xml:space="preserve">2. das Eisenbahn-Bundesamt für Gefäße und Tanks von Batteriewagen, für Tanks von Eisenbahnkesselwagen und für abnehmbare Tanks gemäß Kapitel 6.8 RID,</w:t>
      </w:r>
    </w:p>
    <w:p>
      <w:pPr>
        <w:ind w:left="420"/>
      </w:pPr>
      <w:r>
        <w:t xml:space="preserve">3. die nach Landesrecht zuständigen Behörden für übrige ortsbewegliche Druckgeräte.</w:t>
      </w:r>
    </w:p>
    <w:p>
      <w:r>
        <w:t xml:space="preserve">(2) Die Länder teilen dem Bundesministerium für Digitales und Verkehr die zuständigen Stellen mit. Dieses unterrichtet die Europäische Kommission.</w:t>
      </w:r>
    </w:p>
    <w:p>
      <w:r>
        <w:t xml:space="preserve">(3) Das Bundesministerium für Digitales und Verkehr richtet einen Erfahrungsaustausch für die Marktüberwachung ortsbeweglicher Druckgeräte ein. An dem Erfahrungsaustausch nehmen teil:</w:t>
      </w:r>
    </w:p>
    <w:p>
      <w:pPr>
        <w:ind w:left="420"/>
      </w:pPr>
      <w:r>
        <w:t xml:space="preserve">1. die nach Absatz 1 Nummer 1 und 2 zuständigen Stellen sowie</w:t>
      </w:r>
    </w:p>
    <w:p>
      <w:pPr>
        <w:ind w:left="420"/>
      </w:pPr>
      <w:r>
        <w:t xml:space="preserve">2. die obersten Landesbehörden oder die von ihnen bestimmten Stellen.</w:t>
      </w:r>
    </w:p>
    <w:p>
      <w:r>
        <w:rPr>
          <w:color w:val="555555"/>
          <w:sz w:val="17"/>
        </w:rPr>
        <w:t xml:space="preserve">Zitiervorschlag: § 20 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