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ODV — Koordinierung der Benannten Stellen</w:t>
      </w:r>
    </w:p>
    <w:p>
      <w:r>
        <w:rPr>
          <w:color w:val="555555"/>
          <w:sz w:val="18"/>
        </w:rPr>
        <w:t xml:space="preserve">Ortsbewegliche-Druckgeräte-Verordnung</w:t>
      </w:r>
    </w:p>
    <w:p>
      <w:r>
        <w:rPr>
          <w:color w:val="555555"/>
          <w:sz w:val="18"/>
        </w:rPr>
        <w:t xml:space="preserve">Stand: 21.12.2024 (konsolidierte Textfassung, kein amtliches Inkrafttretensdatum)</w:t>
      </w:r>
    </w:p>
    <w:p>
      <w:r>
        <w:t xml:space="preserve">Das Bundesministerium für Digitales und Verkehr richtet einen nationalen Erfahrungsaustausch der Benannten Stellen für ortsbewegliche Druckgeräte ein, an dem die Benennende Behörde und die Benannten Stellen nach § 16 teilnehmen müssen sowie die Benannten Stellen nach § 18 Absatz 9 teilnehmen dürfen.</w:t>
      </w:r>
    </w:p>
    <w:p>
      <w:r>
        <w:rPr>
          <w:color w:val="555555"/>
          <w:sz w:val="17"/>
        </w:rPr>
        <w:t xml:space="preserve">Zitiervorschlag: § 19 ODV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https://recht.nulegal.eu/gesetze/ODV/19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