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ODV — Benennungsverfahren</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Die Benennende Behörde erteilt auf Antrag einer Stelle die Befugnis, Konformitätsbewertungen, Neubewertungen der Konformität, wiederkehrende Prüfungen, Zwischenprüfungen und außerordentliche Prüfungen für ortsbewegliche Druckgeräte sowie die Überwachung des betriebseigenen Prüfdienstes durchzuführen, und benennt diese Stelle dem Bundesministerium für Digitales und Verkehr als zugelassene Prüfstelle nach Unterabschnitt 1.8.6.1 ADR/RID, wenn die nachfolgend genannten Voraussetzungen vorliegen.</w:t>
      </w:r>
    </w:p>
    <w:p>
      <w:r>
        <w:t xml:space="preserve">(2) Die Stelle mit Sitz oder Niederlassung in Deutschland legt mit dem Antrag auf Befugniserteilung, Zulassung und Benennung nach Abschnitt 1.8.6 ADR/RID folgende Nachweise vor:</w:t>
      </w:r>
    </w:p>
    <w:p>
      <w:pPr>
        <w:ind w:left="420"/>
      </w:pPr>
      <w:r>
        <w:t xml:space="preserve">1. eine Beschreibung der Tätigkeiten im Zusammenhang mit der Konformitätsbewertung, den wiederkehrenden Prüfungen, den Zwischenprüfungen, den außerordentlichen Prüfungen und der Neubewertung der Konformität,</w:t>
      </w:r>
    </w:p>
    <w:p>
      <w:pPr>
        <w:ind w:left="420"/>
      </w:pPr>
      <w:r>
        <w:t xml:space="preserve">2. eine Beschreibung der Verfahren im Zusammenhang mit den Tätigkeiten nach Nummer 1,</w:t>
      </w:r>
    </w:p>
    <w:p>
      <w:pPr>
        <w:ind w:left="420"/>
      </w:pPr>
      <w:r>
        <w:t xml:space="preserve">3. eine Aufstellung der ortsbeweglichen Druckgeräte, für die sie als Prüfstelle benannt werden will,</w:t>
      </w:r>
    </w:p>
    <w:p>
      <w:pPr>
        <w:ind w:left="420"/>
      </w:pPr>
      <w:r>
        <w:t xml:space="preserve">4. eine Akkreditierungsurkunde nebst Anlage und einen Bescheid der nach § 8 des Akkreditierungsstellengesetzes vom 31. Juli 2009 (BGBl. I S. 2625) eingerichteten nationalen Akkreditierungsstelle, in dem diese bescheinigt, dass die Stelle über eine gültige Akkreditierung nach Absatz 1.8.6.3.1 Satz 2 ADR/RID verfügt, und</w:t>
      </w:r>
    </w:p>
    <w:p>
      <w:pPr>
        <w:ind w:left="420"/>
      </w:pPr>
      <w:r>
        <w:t xml:space="preserve">5. den Nachweis, dass sie eine nach deutschem Recht gegründete juristische Person ist.</w:t>
      </w:r>
    </w:p>
    <w:p>
      <w:r>
        <w:t xml:space="preserve">(3) Eine von einer Benennenden Behörde eingerichtete Stelle kann keinen Antrag nach Absatz 2 stellen; einer solchen Stelle kann keine Befugnis nach Absatz 1 erteilt werden, sie kann auch nicht nach Absatz 1 benannt und nach Absatz 4 notifiziert werden. Behörden, denen nach der Gefahrgutverordnung Straße, Eisenbahn und Binnenschifffahrt Zuständigkeiten nach den Vorschriften des ADR oder des RID zugewiesen sind, können einen Antrag nach Absatz 2 stellen.</w:t>
      </w:r>
    </w:p>
    <w:p>
      <w:r>
        <w:t xml:space="preserve">(4) Die Benennende Behörde notifiziert die Benannten Stellen gegenüber der Europäischen Kommission und den übrigen Mitgliedstaaten der Europäischen Union und des Europäischen Wirtschaftsraums entsprechend den Vorgaben der Europäischen Kommission für die Übermittlung der Angaben. Sie teilt der Europäischen Kommission außerdem die nach dieser Verordnung Benannten Stellen mit den ihnen zugewiesenen Kennnummern und den Tätigkeiten, für die sie benannt wurden, für die Veröffentlichung mit. Sie meldet zudem jede später eintretende Änderung der Benennung und Notifizierung.</w:t>
      </w:r>
    </w:p>
    <w:p>
      <w:r>
        <w:rPr>
          <w:color w:val="555555"/>
          <w:sz w:val="17"/>
        </w:rPr>
        <w:t xml:space="preserve">Zitiervorschlag: § 16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