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ODV — Benennende Behörde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(1) Die Benennende Behörde ist zuständig für die Einrichtung und Durchführung der erforderlichen Verfahren für die Bewertung, Benennung und anschließende Überwachung Benannter Stellen, wobei ihr die in Unterabschnitt 1.8.6.2 ADR/RID genannten Pflichten obliegen.</w:t>
      </w:r>
    </w:p>
    <w:p>
      <w:r>
        <w:t xml:space="preserve">(2) Die Benennende Behörde hat die Europäische Kommission über ihre Verfahren zur Begutachtung, Benennung und Überwachung von Benannten Stellen sowie über alle Änderungen dieser Angaben zu unterrichten.</w:t>
      </w:r>
    </w:p>
    <w:p>
      <w:r>
        <w:t xml:space="preserve">(3) Die Benennende Behörde nimmt am Erfahrungsaustausch nach Artikel 28 Buchstabe a der Richtlinie 2010/35/EU teil.</w:t>
      </w:r>
    </w:p>
    <w:p>
      <w:r>
        <w:t xml:space="preserve">(4) Die Benennende Behörde kann Überwachungsmaßnahmen zur Überprüfung der Benannten Stellen nach § 9 Absatz 3c des Gefahrgutbeförderungsgesetzes vornehmen.</w:t>
      </w:r>
    </w:p>
    <w:p>
      <w:r>
        <w:rPr>
          <w:color w:val="555555"/>
          <w:sz w:val="17"/>
        </w:rPr>
        <w:t xml:space="preserve">Zitiervorschlag: § 15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