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ODV — Allgemeine Grundsätze der Pi-Kennzeichnung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oder im Falle der Neubewertung ortsbeweglicher Druckgeräte gemäß § 12 der Eigentümer, der Vertreiber oder Betreiber hat die für die Anbringung, Gestaltung und Verwendung der Pi-Kennzeichnung in Artikel 14 Absatz 2 und 6, in Artikel 15 und in Anhang III der Richtlinie 2010/35/EU festgelegten Vorschriften einzuhalten.</w:t>
      </w:r>
    </w:p>
    <w:p>
      <w:r>
        <w:t xml:space="preserve">(2) Der Hersteller oder im Falle der Neubewertung ortsbeweglicher Druckgeräte nach § 12 der Eigentümer, der Vertreiber oder Betreiber übernimmt mit der Pi-Kennzeichnung die Verantwortung für die Konformität der ortsbeweglichen Druckgeräte mit den in § 3 Absatz 1 genannten Anforderungen.</w:t>
      </w:r>
    </w:p>
    <w:p>
      <w:r>
        <w:t xml:space="preserve">(3) Wer auf einem ortsbeweglichen Druckgerät eine Kennzeichnung anbringt, darf diese nicht derart anbringen, dass sie</w:t>
      </w:r>
    </w:p>
    <w:p>
      <w:pPr>
        <w:ind w:left="420"/>
      </w:pPr>
      <w:r>
        <w:t xml:space="preserve">1. aufgrund ihrer Gestaltung oder ihrer Aussage mit der Pi-Kennzeichnung verwechselt werden kann oder</w:t>
      </w:r>
    </w:p>
    <w:p>
      <w:pPr>
        <w:ind w:left="420"/>
      </w:pPr>
      <w:r>
        <w:t xml:space="preserve">2. das Pi-Kennzeichen verdeckt.</w:t>
      </w:r>
    </w:p>
    <w:p>
      <w:r>
        <w:rPr>
          <w:color w:val="555555"/>
          <w:sz w:val="17"/>
        </w:rPr>
        <w:t xml:space="preserve">Zitiervorschlag: § 13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