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ODV — Geltungsbereich</w:t>
      </w:r>
    </w:p>
    <w:p>
      <w:r>
        <w:rPr>
          <w:color w:val="555555"/>
          <w:sz w:val="18"/>
        </w:rPr>
        <w:t xml:space="preserve">Ortsbewegliche-Druckgeräte-Verordnung</w:t>
      </w:r>
    </w:p>
    <w:p>
      <w:r>
        <w:rPr>
          <w:color w:val="555555"/>
          <w:sz w:val="18"/>
        </w:rPr>
        <w:t xml:space="preserve">Stand: 21.12.2024 (konsolidierte Textfassung, kein amtliches Inkrafttretensdatum)</w:t>
      </w:r>
    </w:p>
    <w:p>
      <w:r>
        <w:t xml:space="preserve">(1) Diese Verordnung gilt für die Konformitätsbewertung, Prüfung, Zulassung, Herstellung, Kennzeichnung, das Inverkehrbringen und Bereitstellen auf dem Markt, die wiederkehrenden und außerordentlichen Prüfungen, die Zwischenprüfungen, die Verwendung und die Marktüberwachung der in Anlage 1 bestimmten ortsbeweglichen Druckgeräte.</w:t>
      </w:r>
    </w:p>
    <w:p>
      <w:r>
        <w:t xml:space="preserve">(2) Diese Verordnung gilt nicht für die in Anlage 2 Abschnitt A bestimmten ortsbeweglichen Druckgeräte mit Ausnahme des § 20 Absatz 1, des § 22 Absatz 2 Satz 1, Absatz 3 Satz 1 und Absatz 6 und des § 22a Absatz 1, 3 und 5 jeweils in Verbindung mit § 10. Diese Verordnung gilt nicht für die in Anlage 2 Abschnitt B bestimmten ortsbeweglichen Druckgeräte.</w:t>
      </w:r>
    </w:p>
    <w:p>
      <w:r>
        <w:rPr>
          <w:color w:val="555555"/>
          <w:sz w:val="17"/>
        </w:rPr>
        <w:t xml:space="preserve">Zitiervorschlag: § 1 ODV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https://recht.nulegal.eu/gesetze/ODV/1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