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OCG NRW (Nordrhein-Westfalen) — Verordnungsermächtigungen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für die Glücksspielaufsicht zuständige Ministerium wird ermächtigt durch Rechtsverordnung Vorschriften darüber zu erlassen, welche Nachweise das für die Glücksspielaufsicht zuständige Ministerium anfordern darf, um die Zuverlässigkeit im Sinne des § 3 Absatz 2 Satz 1 Nummer 6 und die Sachkunde im Sinne des § 3 Absatz 2 Satz 1 Nummer 12 zu prüfen.</w:t>
      </w:r>
    </w:p>
    <w:p>
      <w:r>
        <w:t xml:space="preserve">(2) Das für die Glücksspielaufsicht zuständige Ministerium wird ermächtigt, durch Rechtsverordnung zusätzliche und nähere Vorschriften zu erlassen darüber,</w:t>
      </w:r>
    </w:p>
    <w:p>
      <w:r>
        <w:t xml:space="preserve">1. welche zusätzlichen allgemeinen Anforderungen an die zu erlaubenden Glücksspiele, die als Online-Casinospiele angeboten werden sollen, in technischer und glücksspielrechtlicher Sicht zu stellen sind,</w:t>
      </w:r>
    </w:p>
    <w:p>
      <w:r>
        <w:t xml:space="preserve">2. welche technischen und organisatorischen Maßnahmen im Sinne von Artikel 32 der Datenschutz-Grundverordnung vom 27. April 2016 (ABl. L 119 vom 4.5.2016, S. 1, L 314 vom 22.11.2016, S. 72, L 127 vom 23.5.2018, S. 2, L 74 vom 4.3.2021, S. 35) erforderlich sind,</w:t>
      </w:r>
    </w:p>
    <w:p>
      <w:r>
        <w:t xml:space="preserve">3. welche Sicherungsmaßnahmen hinsichtlich des Datenschutzes von den für die Glücksspiel- und Finanzaufsicht tätigen Personen sowie von den Beschäftigten und von den Besucherinnen und Besuchern in der Spielbank im Rahmen des § 14 zu treffen sind,</w:t>
      </w:r>
    </w:p>
    <w:p>
      <w:r>
        <w:t xml:space="preserve">4. welche Anforderungen an die Auswahl und die Qualifikation des mit dem Spielbetrieb in anderen Räumlichkeiten zur Live-Übertragung im Sinne von § 15 betrauten Personals einschließlich der leitenden Personen im Sinne des § 4 Absatz 3 Satz 3, die für den Bereich der Live-Übertragung aus anderen Räumlichkeiten verantwortlich sind,</w:t>
      </w:r>
    </w:p>
    <w:p>
      <w:r>
        <w:t xml:space="preserve">5. welche Anforderungen an die Bauart und an etwaige elektronische Komponenten eingesetzter mechanischer und elektronischer Spielgeräte und Spieltische, an am Spielablauf beteiligte IT-Komponenten, an die technische Überwachung sowie an den Spielbetrieb in anderen Räumlichkeiten zur Live-Übertragung im Sinne von § 15 zu stellen sind,</w:t>
      </w:r>
    </w:p>
    <w:p>
      <w:r>
        <w:t xml:space="preserve">6. welche Anforderungen an die technischen und organisatorischen Sicherheitsvorkehrungen der Konzessionsinhaberin oder des Konzessionsinhabers zum Schutz vor externen oder internen Manipulations- und Betrugsversuchen zu stellen sind, insbesondere hinsichtlich der IT-Komponenten und der Programme, die für die virtuellen Nachbildungen von Bankhalterspielen im Sinne von § 13 eingesetzt werden,</w:t>
      </w:r>
    </w:p>
    <w:p>
      <w:r>
        <w:t xml:space="preserve">7. welche Anforderungen an die Inbetriebnahme neuer Online-Casinospiele, IT-Komponenten und Software-Updates zu stellen sind, insbesondere wie und durch wen die Funktionsfähigkeit und die Manipulationssicherheit geprüft wird und wie das Verfahren zur Inbetriebnahme ablaufen soll,</w:t>
      </w:r>
    </w:p>
    <w:p>
      <w:r>
        <w:t xml:space="preserve">8. welche Anforderungen an die eingesetzten IT-Komponenten und Software-Programme zu stellen sind, in welchen Zeiträumen durch wen Kontrollen zu erfolgen haben sowie welche Qualifikation an die Prüforganisation zu stellen sind,</w:t>
      </w:r>
    </w:p>
    <w:p>
      <w:r>
        <w:t xml:space="preserve">9. wie und mit welchen Sicherheitsvorkehrungen die Gewinne, Verluste sowie Ein- und Auszahlungen der Spielerinnen und Spieler in Zusammenhang mit den Online-Casinospielen auf dem Spielerkonto nach § 6a des Glücksspielstaatsvertrags 2021 verbucht werden,</w:t>
      </w:r>
    </w:p>
    <w:p>
      <w:r>
        <w:t xml:space="preserve">10. welche Anforderungen an den Safe-Server nach § 6i Absatz 2 des Glücksspielstaatsvertrags 2021 zu stellen sind,</w:t>
      </w:r>
    </w:p>
    <w:p>
      <w:r>
        <w:t xml:space="preserve">11. welche Anforderungen an den Nachweis des Wohnsitzes oder des gewöhnlichen Aufenthalts im Sinne des § 5 Absatz 2 zu stellen sind und wie die Verfahren zur Einhaltung des Geltungsbereichs der Konzession im Sinne des § 5 näher ausgestaltet sind,</w:t>
      </w:r>
    </w:p>
    <w:p>
      <w:r>
        <w:t xml:space="preserve">12. dass die Erwerberin oder der Erwerber über eine Innenrevision verfügen muss, welche Aufgaben diese hat und welche Anforderungen an die Innenrevision und die darin beschäftigten Personen zu stellen sind und</w:t>
      </w:r>
    </w:p>
    <w:p>
      <w:r>
        <w:t xml:space="preserve">13. welche Anforderungen an die Zuverlässigkeit der Personen nach § 3 Absatz 5 Satz 1 Nummer 11 zu stellen sind und wie die Verpflichtung der Konzessionsinhaberin oder des Konzessionsinhabers zur Prüfung der Zuverlässigkeit umzusetzen ist.</w:t>
      </w:r>
    </w:p>
    <w:p>
      <w:r>
        <w:t xml:space="preserve">(3) Die Verordnungsermächtigungen für das für die Glücksspielaufsicht zuständige Ministerium in § 14 Absatz 8, § 15 Absatz 6, § 16 Absatz 5 und die Verordnungsermächtigung für das für Finanzen zuständige Ministerium in § 28 bleiben unberührt.</w:t>
      </w:r>
    </w:p>
    <w:p>
      <w:r>
        <w:rPr>
          <w:color w:val="555555"/>
          <w:sz w:val="17"/>
        </w:rPr>
        <w:t xml:space="preserve">Zitiervorschlag: § 37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