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OCG NRW (Nordrhein-Westfalen) — Anzeigepflicht für die Veranstaltung von Online-Casinospielen</w:t>
      </w:r>
    </w:p>
    <w:p>
      <w:r>
        <w:rPr>
          <w:color w:val="555555"/>
          <w:sz w:val="18"/>
        </w:rPr>
        <w:t xml:space="preserve">Online-Casinospiel 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Wer ein Online-Casinospiel im Sinne des § 19 veranstaltet, hat dem zuständigen Finanzamt unverzüglich anzuzeigen:</w:t>
      </w:r>
    </w:p>
    <w:p>
      <w:r>
        <w:t xml:space="preserve">1. Name,</w:t>
      </w:r>
    </w:p>
    <w:p>
      <w:r>
        <w:t xml:space="preserve">2. Gewerbe,</w:t>
      </w:r>
    </w:p>
    <w:p>
      <w:r>
        <w:t xml:space="preserve">3. Wohnsitz, gewöhnlicher Aufenthalt, Ort der Geschäftsleitung oder Sitz,</w:t>
      </w:r>
    </w:p>
    <w:p>
      <w:r>
        <w:t xml:space="preserve">4. Zeitpunkt der Aufnahme des Spielbetriebs,</w:t>
      </w:r>
    </w:p>
    <w:p>
      <w:r>
        <w:t xml:space="preserve">5. Art des Angebots der Online-Casinospiele (virtuelle Nachbildungen von Bankhalterspielen und beziehungsweise oder Live-Übertragungen eines terrestrisch durchgeführten Bankhalterspiels mit Teilnahmemöglichkeit über das Internet) und</w:t>
      </w:r>
    </w:p>
    <w:p>
      <w:r>
        <w:t xml:space="preserve">6. Zugangsmöglichkeiten für eine Teilnahme am Online-Casinospiel.</w:t>
      </w:r>
    </w:p>
    <w:p>
      <w:r>
        <w:t xml:space="preserve">(2) Ist eine steuerliche Beauftragte oder ein steuerlicher Beauftragter gemäß § 26 bestellt worden, ist diese oder dieser dem zuständigen Finanzamt unverzüglich zu benennen.</w:t>
      </w:r>
    </w:p>
    <w:p>
      <w:r>
        <w:rPr>
          <w:color w:val="555555"/>
          <w:sz w:val="17"/>
        </w:rPr>
        <w:t xml:space="preserve">Zitiervorschlag: § 30 OCG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https://recht.nulegal.eu/gesetze/OCG%20NRW/30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