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OCG NRW (Nordrhein-Westfalen) — Besteuerungsverfahren</w:t>
      </w:r>
    </w:p>
    <w:p>
      <w:r>
        <w:rPr>
          <w:color w:val="555555"/>
          <w:sz w:val="18"/>
        </w:rPr>
        <w:t xml:space="preserve">Online-Casinospiel 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Bei der Zahlung der Online-Casinospielsteuer sind die Steuernummer, die Steuerart und der Zeitraum, für den die Steuer entrichtet wird, anzugeben.</w:t>
      </w:r>
    </w:p>
    <w:p>
      <w:r>
        <w:t xml:space="preserve">(2) Wird die Online-Casinospielsteuer abweichend festgesetzt, geändert oder berichtigt, ist die Kleinbetragsverordnung vom 19. Dezember 2000 (BGBl. I S. 1790, 1805), die durch Artikel 3 des Gesetzes vom 18. Juli 2016 (BGBl. I S. 1679) geändert worden ist, sinngemäß anzuwenden.</w:t>
      </w:r>
    </w:p>
    <w:p>
      <w:r>
        <w:rPr>
          <w:color w:val="555555"/>
          <w:sz w:val="17"/>
        </w:rPr>
        <w:t xml:space="preserve">Zitiervorschlag: § 29 OCG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https://recht.nulegal.eu/gesetze/OCG%20NRW/29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