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OCG NRW (Nordrhein-Westfalen) — Bemessungsgrundlage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Online-Casinospielsteuer bemisst sich nach dem Bruttospielertrag. Bruttospielertrag ist der Betrag, um den der Spieleinsatz den Gewinn der Spielerinnen und Spieler übersteigt, der diesen nach den Spielregeln zusteht.</w:t>
      </w:r>
    </w:p>
    <w:p>
      <w:r>
        <w:t xml:space="preserve">(2) Spielverluste eines Spieltags werden mit den Bruttospielerträgen des laufenden Kalendermonats verrechnet.</w:t>
      </w:r>
    </w:p>
    <w:p>
      <w:r>
        <w:rPr>
          <w:color w:val="555555"/>
          <w:sz w:val="17"/>
        </w:rPr>
        <w:t xml:space="preserve">Zitiervorschlag: § 20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